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BB1A" w14:textId="77777777" w:rsidR="00DC04EB" w:rsidRPr="00630FAB" w:rsidRDefault="00DC04EB" w:rsidP="00DC04EB">
      <w:pPr>
        <w:spacing w:line="360" w:lineRule="auto"/>
        <w:jc w:val="center"/>
        <w:rPr>
          <w:rFonts w:ascii="Times New Roman" w:hAnsi="Times New Roman" w:cs="Times New Roman"/>
          <w:b/>
          <w:sz w:val="24"/>
        </w:rPr>
      </w:pPr>
      <w:r w:rsidRPr="00630FAB">
        <w:rPr>
          <w:rFonts w:ascii="Times New Roman" w:hAnsi="Times New Roman" w:cs="Times New Roman"/>
          <w:b/>
          <w:sz w:val="24"/>
        </w:rPr>
        <w:t>UNIVERZITA PALACKÉHO V OLOMOUCI</w:t>
      </w:r>
    </w:p>
    <w:p w14:paraId="1282A213" w14:textId="77777777" w:rsidR="00DC04EB" w:rsidRPr="00630FAB" w:rsidRDefault="00DC04EB" w:rsidP="00DC04EB">
      <w:pPr>
        <w:spacing w:line="360" w:lineRule="auto"/>
        <w:jc w:val="center"/>
        <w:rPr>
          <w:rFonts w:ascii="Times New Roman" w:hAnsi="Times New Roman" w:cs="Times New Roman"/>
          <w:b/>
          <w:sz w:val="24"/>
        </w:rPr>
      </w:pPr>
      <w:r w:rsidRPr="00630FAB">
        <w:rPr>
          <w:rFonts w:ascii="Times New Roman" w:hAnsi="Times New Roman" w:cs="Times New Roman"/>
          <w:b/>
          <w:sz w:val="24"/>
        </w:rPr>
        <w:t>FAKULTA TĚLESNÉ KULTURY</w:t>
      </w:r>
    </w:p>
    <w:p w14:paraId="38906D46" w14:textId="77777777" w:rsidR="00630FAB" w:rsidRDefault="00630FAB" w:rsidP="00DC04EB">
      <w:pPr>
        <w:spacing w:line="276" w:lineRule="auto"/>
        <w:rPr>
          <w:b/>
        </w:rPr>
      </w:pPr>
    </w:p>
    <w:p w14:paraId="17BCDD04" w14:textId="77777777" w:rsidR="00DC04EB" w:rsidRPr="00630FAB" w:rsidRDefault="00DC04EB" w:rsidP="00DC04EB">
      <w:pPr>
        <w:spacing w:line="276" w:lineRule="auto"/>
        <w:rPr>
          <w:rFonts w:ascii="Times New Roman" w:hAnsi="Times New Roman" w:cs="Times New Roman"/>
          <w:b/>
        </w:rPr>
      </w:pPr>
      <w:r w:rsidRPr="00630FAB">
        <w:rPr>
          <w:rFonts w:ascii="Times New Roman" w:hAnsi="Times New Roman" w:cs="Times New Roman"/>
          <w:b/>
          <w:sz w:val="24"/>
        </w:rPr>
        <w:t>Popis projektu</w:t>
      </w:r>
    </w:p>
    <w:tbl>
      <w:tblPr>
        <w:tblStyle w:val="Mkatabulky"/>
        <w:tblW w:w="0" w:type="auto"/>
        <w:tblInd w:w="0" w:type="dxa"/>
        <w:tblLook w:val="04A0" w:firstRow="1" w:lastRow="0" w:firstColumn="1" w:lastColumn="0" w:noHBand="0" w:noVBand="1"/>
      </w:tblPr>
      <w:tblGrid>
        <w:gridCol w:w="1951"/>
        <w:gridCol w:w="7261"/>
      </w:tblGrid>
      <w:tr w:rsidR="00DC04EB" w:rsidRPr="00630FAB" w14:paraId="4082A74A" w14:textId="77777777" w:rsidTr="00DC04E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799FA" w14:textId="77777777" w:rsidR="00DC04EB" w:rsidRPr="00630FAB" w:rsidRDefault="00DC04EB">
            <w:pPr>
              <w:suppressAutoHyphens/>
              <w:spacing w:line="360" w:lineRule="auto"/>
              <w:rPr>
                <w:rFonts w:ascii="Times New Roman" w:hAnsi="Times New Roman" w:cs="Times New Roman"/>
                <w:b/>
                <w:i/>
                <w:sz w:val="24"/>
              </w:rPr>
            </w:pPr>
            <w:r w:rsidRPr="00630FAB">
              <w:rPr>
                <w:rFonts w:ascii="Times New Roman" w:hAnsi="Times New Roman" w:cs="Times New Roman"/>
                <w:b/>
                <w:i/>
                <w:sz w:val="24"/>
              </w:rPr>
              <w:t>Název</w:t>
            </w:r>
          </w:p>
        </w:tc>
        <w:tc>
          <w:tcPr>
            <w:tcW w:w="7261" w:type="dxa"/>
            <w:tcBorders>
              <w:top w:val="single" w:sz="4" w:space="0" w:color="auto"/>
              <w:left w:val="single" w:sz="4" w:space="0" w:color="auto"/>
              <w:bottom w:val="single" w:sz="4" w:space="0" w:color="auto"/>
              <w:right w:val="single" w:sz="4" w:space="0" w:color="auto"/>
            </w:tcBorders>
            <w:hideMark/>
          </w:tcPr>
          <w:p w14:paraId="5E5AD626" w14:textId="36C0525A" w:rsidR="00DC04EB" w:rsidRDefault="00630FAB">
            <w:pPr>
              <w:spacing w:line="276" w:lineRule="auto"/>
              <w:rPr>
                <w:rFonts w:ascii="Times New Roman" w:hAnsi="Times New Roman" w:cs="Times New Roman"/>
                <w:sz w:val="24"/>
              </w:rPr>
            </w:pPr>
            <w:r w:rsidRPr="00630FAB">
              <w:rPr>
                <w:rFonts w:ascii="Times New Roman" w:hAnsi="Times New Roman" w:cs="Times New Roman"/>
                <w:sz w:val="24"/>
              </w:rPr>
              <w:t>N</w:t>
            </w:r>
            <w:r w:rsidR="007E61D7">
              <w:rPr>
                <w:rFonts w:ascii="Times New Roman" w:hAnsi="Times New Roman" w:cs="Times New Roman"/>
                <w:sz w:val="24"/>
              </w:rPr>
              <w:t>árodní</w:t>
            </w:r>
            <w:r w:rsidR="00317731" w:rsidRPr="00607B75">
              <w:rPr>
                <w:rFonts w:ascii="Times New Roman" w:hAnsi="Times New Roman" w:cs="Times New Roman"/>
                <w:color w:val="FF0000"/>
                <w:sz w:val="24"/>
              </w:rPr>
              <w:t xml:space="preserve"> </w:t>
            </w:r>
            <w:r w:rsidR="00EE618C">
              <w:rPr>
                <w:rFonts w:ascii="Times New Roman" w:hAnsi="Times New Roman" w:cs="Times New Roman"/>
                <w:sz w:val="24"/>
              </w:rPr>
              <w:t xml:space="preserve">růstové </w:t>
            </w:r>
            <w:r>
              <w:rPr>
                <w:rFonts w:ascii="Times New Roman" w:hAnsi="Times New Roman" w:cs="Times New Roman"/>
                <w:sz w:val="24"/>
              </w:rPr>
              <w:t>standardy</w:t>
            </w:r>
            <w:r w:rsidR="00DC04EB" w:rsidRPr="00630FAB">
              <w:rPr>
                <w:rFonts w:ascii="Times New Roman" w:hAnsi="Times New Roman" w:cs="Times New Roman"/>
                <w:sz w:val="24"/>
              </w:rPr>
              <w:t xml:space="preserve"> svalové hmoty a tělesného tuku u</w:t>
            </w:r>
            <w:r w:rsidR="007E61D7">
              <w:rPr>
                <w:rFonts w:ascii="Times New Roman" w:hAnsi="Times New Roman" w:cs="Times New Roman"/>
                <w:sz w:val="24"/>
              </w:rPr>
              <w:t xml:space="preserve"> českých dětí ve věku 6–11 let. </w:t>
            </w:r>
          </w:p>
          <w:p w14:paraId="3CF5E5EE" w14:textId="79465891" w:rsidR="00A25620" w:rsidRPr="00630FAB" w:rsidRDefault="0030261A">
            <w:pPr>
              <w:spacing w:line="276" w:lineRule="auto"/>
              <w:rPr>
                <w:rFonts w:ascii="Times New Roman" w:hAnsi="Times New Roman" w:cs="Times New Roman"/>
                <w:sz w:val="24"/>
              </w:rPr>
            </w:pPr>
            <w:proofErr w:type="spellStart"/>
            <w:r>
              <w:rPr>
                <w:rFonts w:ascii="Times New Roman" w:hAnsi="Times New Roman" w:cs="Times New Roman"/>
                <w:sz w:val="24"/>
              </w:rPr>
              <w:t>National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Growth</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Standards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s</w:t>
            </w:r>
            <w:r w:rsidR="00A25620">
              <w:rPr>
                <w:rFonts w:ascii="Times New Roman" w:hAnsi="Times New Roman" w:cs="Times New Roman"/>
                <w:sz w:val="24"/>
              </w:rPr>
              <w:t>k</w:t>
            </w:r>
            <w:r>
              <w:rPr>
                <w:rFonts w:ascii="Times New Roman" w:hAnsi="Times New Roman" w:cs="Times New Roman"/>
                <w:sz w:val="24"/>
              </w:rPr>
              <w:t>eletal</w:t>
            </w:r>
            <w:proofErr w:type="spellEnd"/>
            <w:r>
              <w:rPr>
                <w:rFonts w:ascii="Times New Roman" w:hAnsi="Times New Roman" w:cs="Times New Roman"/>
                <w:sz w:val="24"/>
              </w:rPr>
              <w:t xml:space="preserve"> </w:t>
            </w:r>
            <w:proofErr w:type="spellStart"/>
            <w:r>
              <w:rPr>
                <w:rFonts w:ascii="Times New Roman" w:hAnsi="Times New Roman" w:cs="Times New Roman"/>
                <w:sz w:val="24"/>
              </w:rPr>
              <w:t>muscle</w:t>
            </w:r>
            <w:proofErr w:type="spellEnd"/>
            <w:r>
              <w:rPr>
                <w:rFonts w:ascii="Times New Roman" w:hAnsi="Times New Roman" w:cs="Times New Roman"/>
                <w:sz w:val="24"/>
              </w:rPr>
              <w:t xml:space="preserve"> </w:t>
            </w:r>
            <w:proofErr w:type="spellStart"/>
            <w:r>
              <w:rPr>
                <w:rFonts w:ascii="Times New Roman" w:hAnsi="Times New Roman" w:cs="Times New Roman"/>
                <w:sz w:val="24"/>
              </w:rPr>
              <w:t>mass</w:t>
            </w:r>
            <w:proofErr w:type="spellEnd"/>
            <w:r>
              <w:rPr>
                <w:rFonts w:ascii="Times New Roman" w:hAnsi="Times New Roman" w:cs="Times New Roman"/>
                <w:sz w:val="24"/>
              </w:rPr>
              <w:t xml:space="preserve"> and body fat </w:t>
            </w:r>
            <w:proofErr w:type="spellStart"/>
            <w:r>
              <w:rPr>
                <w:rFonts w:ascii="Times New Roman" w:hAnsi="Times New Roman" w:cs="Times New Roman"/>
                <w:sz w:val="24"/>
              </w:rPr>
              <w:t>mass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czech</w:t>
            </w:r>
            <w:proofErr w:type="spellEnd"/>
            <w:r>
              <w:rPr>
                <w:rFonts w:ascii="Times New Roman" w:hAnsi="Times New Roman" w:cs="Times New Roman"/>
                <w:sz w:val="24"/>
              </w:rPr>
              <w:t xml:space="preserve"> </w:t>
            </w:r>
            <w:proofErr w:type="spellStart"/>
            <w:r>
              <w:rPr>
                <w:rFonts w:ascii="Times New Roman" w:hAnsi="Times New Roman" w:cs="Times New Roman"/>
                <w:sz w:val="24"/>
              </w:rPr>
              <w:t>children</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6 to 11 </w:t>
            </w:r>
            <w:proofErr w:type="spellStart"/>
            <w:r>
              <w:rPr>
                <w:rFonts w:ascii="Times New Roman" w:hAnsi="Times New Roman" w:cs="Times New Roman"/>
                <w:sz w:val="24"/>
              </w:rPr>
              <w:t>years</w:t>
            </w:r>
            <w:proofErr w:type="spellEnd"/>
            <w:r>
              <w:rPr>
                <w:rFonts w:ascii="Times New Roman" w:hAnsi="Times New Roman" w:cs="Times New Roman"/>
                <w:sz w:val="24"/>
              </w:rPr>
              <w:t>.</w:t>
            </w:r>
          </w:p>
        </w:tc>
      </w:tr>
      <w:tr w:rsidR="00DC04EB" w:rsidRPr="00630FAB" w14:paraId="168854B3" w14:textId="77777777" w:rsidTr="00DC04E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8ABD4" w14:textId="77777777" w:rsidR="00DC04EB" w:rsidRPr="00630FAB" w:rsidRDefault="00DC04EB">
            <w:pPr>
              <w:suppressAutoHyphens/>
              <w:spacing w:line="360" w:lineRule="auto"/>
              <w:rPr>
                <w:rFonts w:ascii="Times New Roman" w:hAnsi="Times New Roman" w:cs="Times New Roman"/>
                <w:b/>
                <w:i/>
                <w:sz w:val="24"/>
              </w:rPr>
            </w:pPr>
            <w:r w:rsidRPr="00630FAB">
              <w:rPr>
                <w:rFonts w:ascii="Times New Roman" w:hAnsi="Times New Roman" w:cs="Times New Roman"/>
                <w:b/>
                <w:i/>
                <w:sz w:val="24"/>
              </w:rPr>
              <w:t>Řešitel</w:t>
            </w:r>
          </w:p>
        </w:tc>
        <w:tc>
          <w:tcPr>
            <w:tcW w:w="7261" w:type="dxa"/>
            <w:tcBorders>
              <w:top w:val="single" w:sz="4" w:space="0" w:color="auto"/>
              <w:left w:val="single" w:sz="4" w:space="0" w:color="auto"/>
              <w:bottom w:val="single" w:sz="4" w:space="0" w:color="auto"/>
              <w:right w:val="single" w:sz="4" w:space="0" w:color="auto"/>
            </w:tcBorders>
            <w:hideMark/>
          </w:tcPr>
          <w:p w14:paraId="37C4DE13" w14:textId="7BF9DC97" w:rsidR="00DC04EB" w:rsidRPr="00630FAB" w:rsidRDefault="00DC04EB">
            <w:pPr>
              <w:suppressAutoHyphens/>
              <w:spacing w:line="360" w:lineRule="auto"/>
              <w:rPr>
                <w:rFonts w:ascii="Times New Roman" w:hAnsi="Times New Roman" w:cs="Times New Roman"/>
                <w:sz w:val="24"/>
              </w:rPr>
            </w:pPr>
            <w:r w:rsidRPr="00630FAB">
              <w:rPr>
                <w:rFonts w:ascii="Times New Roman" w:hAnsi="Times New Roman" w:cs="Times New Roman"/>
                <w:sz w:val="24"/>
              </w:rPr>
              <w:t>Mgr. Vendula Zbořilová</w:t>
            </w:r>
            <w:r w:rsidR="001A515A">
              <w:rPr>
                <w:rFonts w:ascii="Times New Roman" w:hAnsi="Times New Roman" w:cs="Times New Roman"/>
                <w:sz w:val="24"/>
              </w:rPr>
              <w:t xml:space="preserve"> – student Ph.D.</w:t>
            </w:r>
          </w:p>
        </w:tc>
      </w:tr>
      <w:tr w:rsidR="00DC04EB" w:rsidRPr="00630FAB" w14:paraId="33938A76" w14:textId="77777777" w:rsidTr="00DC04EB">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609AF" w14:textId="77777777" w:rsidR="00DC04EB" w:rsidRPr="00630FAB" w:rsidRDefault="00DC04EB">
            <w:pPr>
              <w:suppressAutoHyphens/>
              <w:spacing w:line="360" w:lineRule="auto"/>
              <w:rPr>
                <w:rFonts w:ascii="Times New Roman" w:hAnsi="Times New Roman" w:cs="Times New Roman"/>
                <w:b/>
                <w:i/>
                <w:sz w:val="24"/>
              </w:rPr>
            </w:pPr>
            <w:r w:rsidRPr="00630FAB">
              <w:rPr>
                <w:rFonts w:ascii="Times New Roman" w:hAnsi="Times New Roman" w:cs="Times New Roman"/>
                <w:b/>
                <w:i/>
                <w:sz w:val="24"/>
              </w:rPr>
              <w:t>Spoluřešitelé</w:t>
            </w:r>
          </w:p>
        </w:tc>
        <w:tc>
          <w:tcPr>
            <w:tcW w:w="7261" w:type="dxa"/>
            <w:tcBorders>
              <w:top w:val="single" w:sz="4" w:space="0" w:color="auto"/>
              <w:left w:val="single" w:sz="4" w:space="0" w:color="auto"/>
              <w:bottom w:val="single" w:sz="4" w:space="0" w:color="auto"/>
              <w:right w:val="single" w:sz="4" w:space="0" w:color="auto"/>
            </w:tcBorders>
            <w:hideMark/>
          </w:tcPr>
          <w:p w14:paraId="594E29F5" w14:textId="77777777" w:rsidR="00DC04EB" w:rsidRPr="00630FAB" w:rsidRDefault="00DC04EB">
            <w:pPr>
              <w:suppressAutoHyphens/>
              <w:spacing w:line="360" w:lineRule="auto"/>
              <w:rPr>
                <w:rFonts w:ascii="Times New Roman" w:hAnsi="Times New Roman" w:cs="Times New Roman"/>
                <w:sz w:val="24"/>
              </w:rPr>
            </w:pPr>
            <w:r w:rsidRPr="00630FAB">
              <w:rPr>
                <w:rFonts w:ascii="Times New Roman" w:hAnsi="Times New Roman" w:cs="Times New Roman"/>
                <w:sz w:val="24"/>
              </w:rPr>
              <w:t xml:space="preserve">školitelka: doc. RNDr. Miroslava Přidalová, Ph.D., </w:t>
            </w:r>
          </w:p>
          <w:p w14:paraId="6975BCDD" w14:textId="77777777" w:rsidR="007E61D7" w:rsidRPr="007E61D7" w:rsidRDefault="00DC04EB">
            <w:pPr>
              <w:suppressAutoHyphens/>
              <w:spacing w:line="360" w:lineRule="auto"/>
              <w:rPr>
                <w:rFonts w:ascii="Times New Roman" w:hAnsi="Times New Roman" w:cs="Times New Roman"/>
                <w:sz w:val="24"/>
              </w:rPr>
            </w:pPr>
            <w:r w:rsidRPr="007E61D7">
              <w:rPr>
                <w:rFonts w:ascii="Times New Roman" w:hAnsi="Times New Roman" w:cs="Times New Roman"/>
                <w:sz w:val="24"/>
              </w:rPr>
              <w:t xml:space="preserve">doc. Mgr. Dagmar </w:t>
            </w:r>
            <w:r w:rsidR="007E61D7" w:rsidRPr="007E61D7">
              <w:rPr>
                <w:rFonts w:ascii="Times New Roman" w:hAnsi="Times New Roman" w:cs="Times New Roman"/>
                <w:sz w:val="24"/>
              </w:rPr>
              <w:t>Sigmundová, Ph.D.,</w:t>
            </w:r>
          </w:p>
          <w:p w14:paraId="26AC7C5D" w14:textId="4603E277" w:rsidR="00DC04EB" w:rsidRPr="007E61D7" w:rsidRDefault="007E61D7">
            <w:pPr>
              <w:suppressAutoHyphens/>
              <w:spacing w:line="360" w:lineRule="auto"/>
              <w:rPr>
                <w:rFonts w:ascii="Times New Roman" w:hAnsi="Times New Roman" w:cs="Times New Roman"/>
                <w:sz w:val="24"/>
              </w:rPr>
            </w:pPr>
            <w:r w:rsidRPr="007E61D7">
              <w:rPr>
                <w:rFonts w:ascii="Times New Roman" w:hAnsi="Times New Roman" w:cs="Times New Roman"/>
                <w:sz w:val="24"/>
              </w:rPr>
              <w:t xml:space="preserve">doc. Mgr. Erik Sigmund, Ph.D., </w:t>
            </w:r>
          </w:p>
          <w:p w14:paraId="422BC5E4" w14:textId="7885A3C6" w:rsidR="008B2242" w:rsidRPr="007E61D7" w:rsidRDefault="008B2242">
            <w:pPr>
              <w:suppressAutoHyphens/>
              <w:spacing w:line="360" w:lineRule="auto"/>
              <w:rPr>
                <w:rFonts w:ascii="Times New Roman" w:hAnsi="Times New Roman" w:cs="Times New Roman"/>
                <w:sz w:val="24"/>
              </w:rPr>
            </w:pPr>
            <w:r w:rsidRPr="007E61D7">
              <w:rPr>
                <w:rFonts w:ascii="Times New Roman" w:hAnsi="Times New Roman" w:cs="Times New Roman"/>
                <w:sz w:val="24"/>
              </w:rPr>
              <w:t>Mgr. Tereza Kaplanová</w:t>
            </w:r>
            <w:r w:rsidR="005933E5">
              <w:rPr>
                <w:rFonts w:ascii="Times New Roman" w:hAnsi="Times New Roman" w:cs="Times New Roman"/>
                <w:sz w:val="24"/>
              </w:rPr>
              <w:t xml:space="preserve"> – student Ph.D.</w:t>
            </w:r>
            <w:r w:rsidR="007E61D7" w:rsidRPr="007E61D7">
              <w:rPr>
                <w:rFonts w:ascii="Times New Roman" w:hAnsi="Times New Roman" w:cs="Times New Roman"/>
                <w:sz w:val="24"/>
              </w:rPr>
              <w:t>,</w:t>
            </w:r>
            <w:bookmarkStart w:id="0" w:name="_GoBack"/>
            <w:bookmarkEnd w:id="0"/>
          </w:p>
          <w:p w14:paraId="245387F5" w14:textId="178D3043" w:rsidR="008B2242" w:rsidRPr="00630FAB" w:rsidRDefault="008B2242">
            <w:pPr>
              <w:suppressAutoHyphens/>
              <w:spacing w:line="360" w:lineRule="auto"/>
              <w:rPr>
                <w:rFonts w:ascii="Times New Roman" w:hAnsi="Times New Roman" w:cs="Times New Roman"/>
                <w:sz w:val="24"/>
              </w:rPr>
            </w:pPr>
            <w:r w:rsidRPr="007E61D7">
              <w:rPr>
                <w:rFonts w:ascii="Times New Roman" w:hAnsi="Times New Roman" w:cs="Times New Roman"/>
                <w:sz w:val="24"/>
              </w:rPr>
              <w:t>Mgr. Pavel Marek</w:t>
            </w:r>
            <w:r w:rsidR="005933E5">
              <w:rPr>
                <w:rFonts w:ascii="Times New Roman" w:hAnsi="Times New Roman" w:cs="Times New Roman"/>
                <w:sz w:val="24"/>
              </w:rPr>
              <w:t xml:space="preserve"> – student Ph.D.</w:t>
            </w:r>
          </w:p>
        </w:tc>
      </w:tr>
    </w:tbl>
    <w:sdt>
      <w:sdtPr>
        <w:rPr>
          <w:rFonts w:ascii="Times New Roman" w:eastAsiaTheme="minorHAnsi" w:hAnsi="Times New Roman" w:cs="Times New Roman"/>
          <w:color w:val="auto"/>
          <w:sz w:val="24"/>
          <w:szCs w:val="24"/>
          <w:lang w:eastAsia="en-US"/>
        </w:rPr>
        <w:id w:val="673848633"/>
        <w:docPartObj>
          <w:docPartGallery w:val="Table of Contents"/>
          <w:docPartUnique/>
        </w:docPartObj>
      </w:sdtPr>
      <w:sdtEndPr>
        <w:rPr>
          <w:rFonts w:asciiTheme="minorHAnsi" w:hAnsiTheme="minorHAnsi" w:cstheme="minorBidi"/>
          <w:b/>
          <w:bCs/>
          <w:sz w:val="22"/>
          <w:szCs w:val="22"/>
        </w:rPr>
      </w:sdtEndPr>
      <w:sdtContent>
        <w:p w14:paraId="3E339D25" w14:textId="77777777" w:rsidR="00D148A1" w:rsidRPr="005933E5" w:rsidRDefault="00D148A1">
          <w:pPr>
            <w:pStyle w:val="Nadpisobsahu"/>
            <w:rPr>
              <w:rFonts w:ascii="Times New Roman" w:hAnsi="Times New Roman" w:cs="Times New Roman"/>
              <w:sz w:val="24"/>
              <w:szCs w:val="24"/>
            </w:rPr>
          </w:pPr>
        </w:p>
        <w:p w14:paraId="5D206AD5" w14:textId="77777777" w:rsidR="00D148A1" w:rsidRPr="005933E5" w:rsidRDefault="00D148A1">
          <w:pPr>
            <w:pStyle w:val="Nadpisobsahu"/>
            <w:rPr>
              <w:rFonts w:ascii="Times New Roman" w:hAnsi="Times New Roman" w:cs="Times New Roman"/>
              <w:b/>
              <w:color w:val="auto"/>
              <w:sz w:val="24"/>
              <w:szCs w:val="24"/>
            </w:rPr>
          </w:pPr>
          <w:r w:rsidRPr="005933E5">
            <w:rPr>
              <w:rFonts w:ascii="Times New Roman" w:hAnsi="Times New Roman" w:cs="Times New Roman"/>
              <w:b/>
              <w:color w:val="auto"/>
              <w:sz w:val="24"/>
              <w:szCs w:val="24"/>
            </w:rPr>
            <w:t>OBSAH</w:t>
          </w:r>
        </w:p>
        <w:p w14:paraId="3FAF57C7" w14:textId="77777777" w:rsidR="00D148A1" w:rsidRPr="005933E5" w:rsidRDefault="00D148A1">
          <w:pPr>
            <w:pStyle w:val="Obsah1"/>
            <w:tabs>
              <w:tab w:val="right" w:leader="dot" w:pos="9062"/>
            </w:tabs>
            <w:rPr>
              <w:rFonts w:ascii="Times New Roman" w:hAnsi="Times New Roman" w:cs="Times New Roman"/>
              <w:noProof/>
              <w:sz w:val="24"/>
              <w:szCs w:val="24"/>
            </w:rPr>
          </w:pPr>
          <w:r w:rsidRPr="005933E5">
            <w:rPr>
              <w:rFonts w:ascii="Times New Roman" w:hAnsi="Times New Roman" w:cs="Times New Roman"/>
              <w:sz w:val="24"/>
              <w:szCs w:val="24"/>
            </w:rPr>
            <w:fldChar w:fldCharType="begin"/>
          </w:r>
          <w:r w:rsidRPr="005933E5">
            <w:rPr>
              <w:rFonts w:ascii="Times New Roman" w:hAnsi="Times New Roman" w:cs="Times New Roman"/>
              <w:sz w:val="24"/>
              <w:szCs w:val="24"/>
            </w:rPr>
            <w:instrText xml:space="preserve"> TOC \o "1-3" \h \z \u </w:instrText>
          </w:r>
          <w:r w:rsidRPr="005933E5">
            <w:rPr>
              <w:rFonts w:ascii="Times New Roman" w:hAnsi="Times New Roman" w:cs="Times New Roman"/>
              <w:sz w:val="24"/>
              <w:szCs w:val="24"/>
            </w:rPr>
            <w:fldChar w:fldCharType="separate"/>
          </w:r>
          <w:hyperlink w:anchor="_Toc477332311" w:history="1">
            <w:r w:rsidRPr="005933E5">
              <w:rPr>
                <w:rStyle w:val="Hypertextovodkaz"/>
                <w:rFonts w:ascii="Times New Roman" w:hAnsi="Times New Roman" w:cs="Times New Roman"/>
                <w:noProof/>
                <w:sz w:val="24"/>
                <w:szCs w:val="24"/>
              </w:rPr>
              <w:t>1 TEORETICKÁ VÝCHODISKA</w:t>
            </w:r>
            <w:r w:rsidRPr="005933E5">
              <w:rPr>
                <w:rFonts w:ascii="Times New Roman" w:hAnsi="Times New Roman" w:cs="Times New Roman"/>
                <w:noProof/>
                <w:webHidden/>
                <w:sz w:val="24"/>
                <w:szCs w:val="24"/>
              </w:rPr>
              <w:tab/>
            </w:r>
            <w:r w:rsidRPr="005933E5">
              <w:rPr>
                <w:rFonts w:ascii="Times New Roman" w:hAnsi="Times New Roman" w:cs="Times New Roman"/>
                <w:noProof/>
                <w:webHidden/>
                <w:sz w:val="24"/>
                <w:szCs w:val="24"/>
              </w:rPr>
              <w:fldChar w:fldCharType="begin"/>
            </w:r>
            <w:r w:rsidRPr="005933E5">
              <w:rPr>
                <w:rFonts w:ascii="Times New Roman" w:hAnsi="Times New Roman" w:cs="Times New Roman"/>
                <w:noProof/>
                <w:webHidden/>
                <w:sz w:val="24"/>
                <w:szCs w:val="24"/>
              </w:rPr>
              <w:instrText xml:space="preserve"> PAGEREF _Toc477332311 \h </w:instrText>
            </w:r>
            <w:r w:rsidRPr="005933E5">
              <w:rPr>
                <w:rFonts w:ascii="Times New Roman" w:hAnsi="Times New Roman" w:cs="Times New Roman"/>
                <w:noProof/>
                <w:webHidden/>
                <w:sz w:val="24"/>
                <w:szCs w:val="24"/>
              </w:rPr>
            </w:r>
            <w:r w:rsidRPr="005933E5">
              <w:rPr>
                <w:rFonts w:ascii="Times New Roman" w:hAnsi="Times New Roman" w:cs="Times New Roman"/>
                <w:noProof/>
                <w:webHidden/>
                <w:sz w:val="24"/>
                <w:szCs w:val="24"/>
              </w:rPr>
              <w:fldChar w:fldCharType="separate"/>
            </w:r>
            <w:r w:rsidRPr="005933E5">
              <w:rPr>
                <w:rFonts w:ascii="Times New Roman" w:hAnsi="Times New Roman" w:cs="Times New Roman"/>
                <w:noProof/>
                <w:webHidden/>
                <w:sz w:val="24"/>
                <w:szCs w:val="24"/>
              </w:rPr>
              <w:t>1</w:t>
            </w:r>
            <w:r w:rsidRPr="005933E5">
              <w:rPr>
                <w:rFonts w:ascii="Times New Roman" w:hAnsi="Times New Roman" w:cs="Times New Roman"/>
                <w:noProof/>
                <w:webHidden/>
                <w:sz w:val="24"/>
                <w:szCs w:val="24"/>
              </w:rPr>
              <w:fldChar w:fldCharType="end"/>
            </w:r>
          </w:hyperlink>
        </w:p>
        <w:p w14:paraId="44C7446F" w14:textId="77777777" w:rsidR="00D148A1" w:rsidRPr="005933E5" w:rsidRDefault="001A515A">
          <w:pPr>
            <w:pStyle w:val="Obsah1"/>
            <w:tabs>
              <w:tab w:val="right" w:leader="dot" w:pos="9062"/>
            </w:tabs>
            <w:rPr>
              <w:rFonts w:ascii="Times New Roman" w:hAnsi="Times New Roman" w:cs="Times New Roman"/>
              <w:noProof/>
              <w:sz w:val="24"/>
              <w:szCs w:val="24"/>
            </w:rPr>
          </w:pPr>
          <w:hyperlink w:anchor="_Toc477332312" w:history="1">
            <w:r w:rsidR="00D148A1" w:rsidRPr="005933E5">
              <w:rPr>
                <w:rStyle w:val="Hypertextovodkaz"/>
                <w:rFonts w:ascii="Times New Roman" w:hAnsi="Times New Roman" w:cs="Times New Roman"/>
                <w:noProof/>
                <w:sz w:val="24"/>
                <w:szCs w:val="24"/>
              </w:rPr>
              <w:t>2 CÍL</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_Toc477332312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3</w:t>
            </w:r>
            <w:r w:rsidR="00D148A1" w:rsidRPr="005933E5">
              <w:rPr>
                <w:rFonts w:ascii="Times New Roman" w:hAnsi="Times New Roman" w:cs="Times New Roman"/>
                <w:noProof/>
                <w:webHidden/>
                <w:sz w:val="24"/>
                <w:szCs w:val="24"/>
              </w:rPr>
              <w:fldChar w:fldCharType="end"/>
            </w:r>
          </w:hyperlink>
        </w:p>
        <w:p w14:paraId="2B9939AE" w14:textId="77777777" w:rsidR="00D148A1" w:rsidRPr="005933E5" w:rsidRDefault="001A515A">
          <w:pPr>
            <w:pStyle w:val="Obsah1"/>
            <w:tabs>
              <w:tab w:val="right" w:leader="dot" w:pos="9062"/>
            </w:tabs>
            <w:rPr>
              <w:rFonts w:ascii="Times New Roman" w:hAnsi="Times New Roman" w:cs="Times New Roman"/>
              <w:noProof/>
              <w:sz w:val="24"/>
              <w:szCs w:val="24"/>
            </w:rPr>
          </w:pPr>
          <w:hyperlink w:anchor="_Toc477332313" w:history="1">
            <w:r w:rsidR="00D148A1" w:rsidRPr="005933E5">
              <w:rPr>
                <w:rStyle w:val="Hypertextovodkaz"/>
                <w:rFonts w:ascii="Times New Roman" w:hAnsi="Times New Roman" w:cs="Times New Roman"/>
                <w:noProof/>
                <w:sz w:val="24"/>
                <w:szCs w:val="24"/>
              </w:rPr>
              <w:t>3 METODIKA</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_Toc477332313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3</w:t>
            </w:r>
            <w:r w:rsidR="00D148A1" w:rsidRPr="005933E5">
              <w:rPr>
                <w:rFonts w:ascii="Times New Roman" w:hAnsi="Times New Roman" w:cs="Times New Roman"/>
                <w:noProof/>
                <w:webHidden/>
                <w:sz w:val="24"/>
                <w:szCs w:val="24"/>
              </w:rPr>
              <w:fldChar w:fldCharType="end"/>
            </w:r>
          </w:hyperlink>
        </w:p>
        <w:p w14:paraId="30469C82" w14:textId="77777777" w:rsidR="00D148A1" w:rsidRPr="005933E5" w:rsidRDefault="001A515A">
          <w:pPr>
            <w:pStyle w:val="Obsah2"/>
            <w:tabs>
              <w:tab w:val="right" w:leader="dot" w:pos="9062"/>
            </w:tabs>
            <w:rPr>
              <w:rFonts w:ascii="Times New Roman" w:hAnsi="Times New Roman" w:cs="Times New Roman"/>
              <w:noProof/>
              <w:sz w:val="24"/>
              <w:szCs w:val="24"/>
            </w:rPr>
          </w:pPr>
          <w:hyperlink w:anchor="_Toc477332314" w:history="1">
            <w:r w:rsidR="00D148A1" w:rsidRPr="005933E5">
              <w:rPr>
                <w:rStyle w:val="Hypertextovodkaz"/>
                <w:rFonts w:ascii="Times New Roman" w:hAnsi="Times New Roman" w:cs="Times New Roman"/>
                <w:noProof/>
                <w:sz w:val="24"/>
                <w:szCs w:val="24"/>
              </w:rPr>
              <w:t>Design studie</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_Toc477332314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3</w:t>
            </w:r>
            <w:r w:rsidR="00D148A1" w:rsidRPr="005933E5">
              <w:rPr>
                <w:rFonts w:ascii="Times New Roman" w:hAnsi="Times New Roman" w:cs="Times New Roman"/>
                <w:noProof/>
                <w:webHidden/>
                <w:sz w:val="24"/>
                <w:szCs w:val="24"/>
              </w:rPr>
              <w:fldChar w:fldCharType="end"/>
            </w:r>
          </w:hyperlink>
        </w:p>
        <w:p w14:paraId="1FEEE7F8" w14:textId="77777777" w:rsidR="00D148A1" w:rsidRPr="005933E5" w:rsidRDefault="001A515A">
          <w:pPr>
            <w:pStyle w:val="Obsah2"/>
            <w:tabs>
              <w:tab w:val="right" w:leader="dot" w:pos="9062"/>
            </w:tabs>
            <w:rPr>
              <w:rFonts w:ascii="Times New Roman" w:hAnsi="Times New Roman" w:cs="Times New Roman"/>
              <w:noProof/>
              <w:sz w:val="24"/>
              <w:szCs w:val="24"/>
            </w:rPr>
          </w:pPr>
          <w:hyperlink w:anchor="_Toc477332315" w:history="1">
            <w:r w:rsidR="00D148A1" w:rsidRPr="005933E5">
              <w:rPr>
                <w:rStyle w:val="Hypertextovodkaz"/>
                <w:rFonts w:ascii="Times New Roman" w:hAnsi="Times New Roman" w:cs="Times New Roman"/>
                <w:noProof/>
                <w:sz w:val="24"/>
                <w:szCs w:val="24"/>
              </w:rPr>
              <w:t>Výzkumný soubor</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_Toc477332315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3</w:t>
            </w:r>
            <w:r w:rsidR="00D148A1" w:rsidRPr="005933E5">
              <w:rPr>
                <w:rFonts w:ascii="Times New Roman" w:hAnsi="Times New Roman" w:cs="Times New Roman"/>
                <w:noProof/>
                <w:webHidden/>
                <w:sz w:val="24"/>
                <w:szCs w:val="24"/>
              </w:rPr>
              <w:fldChar w:fldCharType="end"/>
            </w:r>
          </w:hyperlink>
        </w:p>
        <w:p w14:paraId="2B45C62C" w14:textId="77777777" w:rsidR="00D148A1" w:rsidRPr="005933E5" w:rsidRDefault="001A515A">
          <w:pPr>
            <w:pStyle w:val="Obsah2"/>
            <w:tabs>
              <w:tab w:val="right" w:leader="dot" w:pos="9062"/>
            </w:tabs>
            <w:rPr>
              <w:rFonts w:ascii="Times New Roman" w:hAnsi="Times New Roman" w:cs="Times New Roman"/>
              <w:noProof/>
              <w:sz w:val="24"/>
              <w:szCs w:val="24"/>
            </w:rPr>
          </w:pPr>
          <w:hyperlink w:anchor="_Toc477332316" w:history="1">
            <w:r w:rsidR="00D148A1" w:rsidRPr="005933E5">
              <w:rPr>
                <w:rStyle w:val="Hypertextovodkaz"/>
                <w:rFonts w:ascii="Times New Roman" w:hAnsi="Times New Roman" w:cs="Times New Roman"/>
                <w:noProof/>
                <w:sz w:val="24"/>
                <w:szCs w:val="24"/>
              </w:rPr>
              <w:t>Sběr dat</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_Toc477332316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4</w:t>
            </w:r>
            <w:r w:rsidR="00D148A1" w:rsidRPr="005933E5">
              <w:rPr>
                <w:rFonts w:ascii="Times New Roman" w:hAnsi="Times New Roman" w:cs="Times New Roman"/>
                <w:noProof/>
                <w:webHidden/>
                <w:sz w:val="24"/>
                <w:szCs w:val="24"/>
              </w:rPr>
              <w:fldChar w:fldCharType="end"/>
            </w:r>
          </w:hyperlink>
        </w:p>
        <w:p w14:paraId="2ED05EDA" w14:textId="77777777" w:rsidR="00D148A1" w:rsidRPr="005933E5" w:rsidRDefault="001A515A">
          <w:pPr>
            <w:pStyle w:val="Obsah2"/>
            <w:tabs>
              <w:tab w:val="right" w:leader="dot" w:pos="9062"/>
            </w:tabs>
            <w:rPr>
              <w:rFonts w:ascii="Times New Roman" w:hAnsi="Times New Roman" w:cs="Times New Roman"/>
              <w:noProof/>
              <w:sz w:val="24"/>
              <w:szCs w:val="24"/>
            </w:rPr>
          </w:pPr>
          <w:hyperlink w:anchor="_Toc477332317" w:history="1">
            <w:r w:rsidR="00D148A1" w:rsidRPr="005933E5">
              <w:rPr>
                <w:rStyle w:val="Hypertextovodkaz"/>
                <w:rFonts w:ascii="Times New Roman" w:hAnsi="Times New Roman" w:cs="Times New Roman"/>
                <w:noProof/>
                <w:sz w:val="24"/>
                <w:szCs w:val="24"/>
              </w:rPr>
              <w:t>Způsob zpracování dat</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_Toc477332317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4</w:t>
            </w:r>
            <w:r w:rsidR="00D148A1" w:rsidRPr="005933E5">
              <w:rPr>
                <w:rFonts w:ascii="Times New Roman" w:hAnsi="Times New Roman" w:cs="Times New Roman"/>
                <w:noProof/>
                <w:webHidden/>
                <w:sz w:val="24"/>
                <w:szCs w:val="24"/>
              </w:rPr>
              <w:fldChar w:fldCharType="end"/>
            </w:r>
          </w:hyperlink>
        </w:p>
        <w:p w14:paraId="0AD39502" w14:textId="77777777" w:rsidR="00D148A1" w:rsidRPr="005933E5" w:rsidRDefault="001A515A">
          <w:pPr>
            <w:pStyle w:val="Obsah2"/>
            <w:tabs>
              <w:tab w:val="right" w:leader="dot" w:pos="9062"/>
            </w:tabs>
            <w:rPr>
              <w:rFonts w:ascii="Times New Roman" w:hAnsi="Times New Roman" w:cs="Times New Roman"/>
              <w:noProof/>
              <w:sz w:val="24"/>
              <w:szCs w:val="24"/>
            </w:rPr>
          </w:pPr>
          <w:hyperlink w:anchor="_Toc477332318" w:history="1">
            <w:r w:rsidR="00D148A1" w:rsidRPr="005933E5">
              <w:rPr>
                <w:rStyle w:val="Hypertextovodkaz"/>
                <w:rFonts w:ascii="Times New Roman" w:hAnsi="Times New Roman" w:cs="Times New Roman"/>
                <w:noProof/>
                <w:sz w:val="24"/>
                <w:szCs w:val="24"/>
              </w:rPr>
              <w:t>Statistické zpracování dat</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_Toc477332318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4</w:t>
            </w:r>
            <w:r w:rsidR="00D148A1" w:rsidRPr="005933E5">
              <w:rPr>
                <w:rFonts w:ascii="Times New Roman" w:hAnsi="Times New Roman" w:cs="Times New Roman"/>
                <w:noProof/>
                <w:webHidden/>
                <w:sz w:val="24"/>
                <w:szCs w:val="24"/>
              </w:rPr>
              <w:fldChar w:fldCharType="end"/>
            </w:r>
          </w:hyperlink>
        </w:p>
        <w:p w14:paraId="72082FF6" w14:textId="77777777" w:rsidR="00D148A1" w:rsidRPr="005933E5" w:rsidRDefault="001A515A">
          <w:pPr>
            <w:pStyle w:val="Obsah2"/>
            <w:tabs>
              <w:tab w:val="right" w:leader="dot" w:pos="9062"/>
            </w:tabs>
            <w:rPr>
              <w:rFonts w:ascii="Times New Roman" w:hAnsi="Times New Roman" w:cs="Times New Roman"/>
              <w:noProof/>
              <w:sz w:val="24"/>
              <w:szCs w:val="24"/>
            </w:rPr>
          </w:pPr>
          <w:hyperlink w:anchor="_Toc477332319" w:history="1">
            <w:r w:rsidR="00D148A1" w:rsidRPr="005933E5">
              <w:rPr>
                <w:rStyle w:val="Hypertextovodkaz"/>
                <w:rFonts w:ascii="Times New Roman" w:hAnsi="Times New Roman" w:cs="Times New Roman"/>
                <w:noProof/>
                <w:sz w:val="24"/>
                <w:szCs w:val="24"/>
              </w:rPr>
              <w:t>Časový harmonogram</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_Toc477332319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4</w:t>
            </w:r>
            <w:r w:rsidR="00D148A1" w:rsidRPr="005933E5">
              <w:rPr>
                <w:rFonts w:ascii="Times New Roman" w:hAnsi="Times New Roman" w:cs="Times New Roman"/>
                <w:noProof/>
                <w:webHidden/>
                <w:sz w:val="24"/>
                <w:szCs w:val="24"/>
              </w:rPr>
              <w:fldChar w:fldCharType="end"/>
            </w:r>
          </w:hyperlink>
        </w:p>
        <w:p w14:paraId="3F24E016" w14:textId="77777777" w:rsidR="00D148A1" w:rsidRPr="005933E5" w:rsidRDefault="001A515A">
          <w:pPr>
            <w:pStyle w:val="Obsah1"/>
            <w:tabs>
              <w:tab w:val="right" w:leader="dot" w:pos="9062"/>
            </w:tabs>
            <w:rPr>
              <w:rFonts w:ascii="Times New Roman" w:hAnsi="Times New Roman" w:cs="Times New Roman"/>
              <w:noProof/>
              <w:sz w:val="24"/>
              <w:szCs w:val="24"/>
            </w:rPr>
          </w:pPr>
          <w:hyperlink w:anchor="_Toc477332320" w:history="1">
            <w:r w:rsidR="00D148A1" w:rsidRPr="005933E5">
              <w:rPr>
                <w:rStyle w:val="Hypertextovodkaz"/>
                <w:rFonts w:ascii="Times New Roman" w:hAnsi="Times New Roman" w:cs="Times New Roman"/>
                <w:noProof/>
                <w:sz w:val="24"/>
                <w:szCs w:val="24"/>
              </w:rPr>
              <w:t>4 OČEKÁVANÉ VÝSTUPY</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_Toc477332320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4</w:t>
            </w:r>
            <w:r w:rsidR="00D148A1" w:rsidRPr="005933E5">
              <w:rPr>
                <w:rFonts w:ascii="Times New Roman" w:hAnsi="Times New Roman" w:cs="Times New Roman"/>
                <w:noProof/>
                <w:webHidden/>
                <w:sz w:val="24"/>
                <w:szCs w:val="24"/>
              </w:rPr>
              <w:fldChar w:fldCharType="end"/>
            </w:r>
          </w:hyperlink>
        </w:p>
        <w:p w14:paraId="04B57F3E" w14:textId="77777777" w:rsidR="00D148A1" w:rsidRPr="005933E5" w:rsidRDefault="001A515A">
          <w:pPr>
            <w:pStyle w:val="Obsah1"/>
            <w:tabs>
              <w:tab w:val="right" w:leader="dot" w:pos="9062"/>
            </w:tabs>
            <w:rPr>
              <w:rFonts w:ascii="Times New Roman" w:hAnsi="Times New Roman" w:cs="Times New Roman"/>
              <w:noProof/>
              <w:sz w:val="24"/>
              <w:szCs w:val="24"/>
            </w:rPr>
          </w:pPr>
          <w:hyperlink w:anchor="_Toc477332321" w:history="1">
            <w:r w:rsidR="00D148A1" w:rsidRPr="005933E5">
              <w:rPr>
                <w:rStyle w:val="Hypertextovodkaz"/>
                <w:rFonts w:ascii="Times New Roman" w:hAnsi="Times New Roman" w:cs="Times New Roman"/>
                <w:noProof/>
                <w:sz w:val="24"/>
                <w:szCs w:val="24"/>
              </w:rPr>
              <w:t>5 REFERENČNÍ SEZNAM</w:t>
            </w:r>
            <w:r w:rsidR="00D148A1" w:rsidRPr="005933E5">
              <w:rPr>
                <w:rFonts w:ascii="Times New Roman" w:hAnsi="Times New Roman" w:cs="Times New Roman"/>
                <w:noProof/>
                <w:webHidden/>
                <w:sz w:val="24"/>
                <w:szCs w:val="24"/>
              </w:rPr>
              <w:tab/>
            </w:r>
            <w:r w:rsidR="00D148A1" w:rsidRPr="005933E5">
              <w:rPr>
                <w:rFonts w:ascii="Times New Roman" w:hAnsi="Times New Roman" w:cs="Times New Roman"/>
                <w:noProof/>
                <w:webHidden/>
                <w:sz w:val="24"/>
                <w:szCs w:val="24"/>
              </w:rPr>
              <w:fldChar w:fldCharType="begin"/>
            </w:r>
            <w:r w:rsidR="00D148A1" w:rsidRPr="005933E5">
              <w:rPr>
                <w:rFonts w:ascii="Times New Roman" w:hAnsi="Times New Roman" w:cs="Times New Roman"/>
                <w:noProof/>
                <w:webHidden/>
                <w:sz w:val="24"/>
                <w:szCs w:val="24"/>
              </w:rPr>
              <w:instrText xml:space="preserve"> PAGEREF _Toc477332321 \h </w:instrText>
            </w:r>
            <w:r w:rsidR="00D148A1" w:rsidRPr="005933E5">
              <w:rPr>
                <w:rFonts w:ascii="Times New Roman" w:hAnsi="Times New Roman" w:cs="Times New Roman"/>
                <w:noProof/>
                <w:webHidden/>
                <w:sz w:val="24"/>
                <w:szCs w:val="24"/>
              </w:rPr>
            </w:r>
            <w:r w:rsidR="00D148A1" w:rsidRPr="005933E5">
              <w:rPr>
                <w:rFonts w:ascii="Times New Roman" w:hAnsi="Times New Roman" w:cs="Times New Roman"/>
                <w:noProof/>
                <w:webHidden/>
                <w:sz w:val="24"/>
                <w:szCs w:val="24"/>
              </w:rPr>
              <w:fldChar w:fldCharType="separate"/>
            </w:r>
            <w:r w:rsidR="00D148A1" w:rsidRPr="005933E5">
              <w:rPr>
                <w:rFonts w:ascii="Times New Roman" w:hAnsi="Times New Roman" w:cs="Times New Roman"/>
                <w:noProof/>
                <w:webHidden/>
                <w:sz w:val="24"/>
                <w:szCs w:val="24"/>
              </w:rPr>
              <w:t>5</w:t>
            </w:r>
            <w:r w:rsidR="00D148A1" w:rsidRPr="005933E5">
              <w:rPr>
                <w:rFonts w:ascii="Times New Roman" w:hAnsi="Times New Roman" w:cs="Times New Roman"/>
                <w:noProof/>
                <w:webHidden/>
                <w:sz w:val="24"/>
                <w:szCs w:val="24"/>
              </w:rPr>
              <w:fldChar w:fldCharType="end"/>
            </w:r>
          </w:hyperlink>
        </w:p>
        <w:p w14:paraId="41DF196E" w14:textId="77777777" w:rsidR="00D148A1" w:rsidRPr="00D148A1" w:rsidRDefault="00D148A1" w:rsidP="00D148A1">
          <w:r w:rsidRPr="005933E5">
            <w:rPr>
              <w:rFonts w:ascii="Times New Roman" w:hAnsi="Times New Roman" w:cs="Times New Roman"/>
              <w:b/>
              <w:bCs/>
              <w:sz w:val="24"/>
              <w:szCs w:val="24"/>
            </w:rPr>
            <w:fldChar w:fldCharType="end"/>
          </w:r>
        </w:p>
      </w:sdtContent>
    </w:sdt>
    <w:bookmarkStart w:id="1" w:name="_Toc477332311" w:displacedByCustomXml="prev"/>
    <w:p w14:paraId="26DF7BBC" w14:textId="77777777" w:rsidR="00D148A1" w:rsidRDefault="00D148A1" w:rsidP="00D148A1">
      <w:pPr>
        <w:pStyle w:val="Nadpis1"/>
        <w:ind w:firstLine="0"/>
        <w:rPr>
          <w:rFonts w:ascii="Times New Roman" w:hAnsi="Times New Roman" w:cs="Times New Roman"/>
          <w:b/>
          <w:color w:val="auto"/>
          <w:sz w:val="24"/>
          <w:szCs w:val="24"/>
        </w:rPr>
      </w:pPr>
    </w:p>
    <w:p w14:paraId="669AAEEA" w14:textId="77777777" w:rsidR="00D148A1" w:rsidRPr="005933E5" w:rsidRDefault="00D148A1" w:rsidP="005933E5">
      <w:pPr>
        <w:pStyle w:val="Odstavecseseznamem"/>
        <w:numPr>
          <w:ilvl w:val="0"/>
          <w:numId w:val="4"/>
        </w:numPr>
        <w:rPr>
          <w:rFonts w:ascii="Times New Roman" w:eastAsiaTheme="majorEastAsia" w:hAnsi="Times New Roman" w:cs="Times New Roman"/>
          <w:b/>
          <w:sz w:val="24"/>
          <w:szCs w:val="24"/>
        </w:rPr>
      </w:pPr>
      <w:r w:rsidRPr="005933E5">
        <w:rPr>
          <w:rFonts w:ascii="Times New Roman" w:hAnsi="Times New Roman" w:cs="Times New Roman"/>
          <w:b/>
          <w:sz w:val="24"/>
          <w:szCs w:val="24"/>
        </w:rPr>
        <w:br w:type="page"/>
      </w:r>
    </w:p>
    <w:p w14:paraId="57353C1F" w14:textId="77777777" w:rsidR="00DC04EB" w:rsidRPr="00D148A1" w:rsidRDefault="00DC04EB" w:rsidP="004750F5">
      <w:pPr>
        <w:pStyle w:val="Nadpis1"/>
        <w:spacing w:line="276" w:lineRule="auto"/>
        <w:ind w:firstLine="0"/>
        <w:rPr>
          <w:rFonts w:ascii="Times New Roman" w:hAnsi="Times New Roman" w:cs="Times New Roman"/>
          <w:b/>
          <w:color w:val="auto"/>
          <w:sz w:val="24"/>
          <w:szCs w:val="24"/>
        </w:rPr>
      </w:pPr>
      <w:r w:rsidRPr="00D148A1">
        <w:rPr>
          <w:rFonts w:ascii="Times New Roman" w:hAnsi="Times New Roman" w:cs="Times New Roman"/>
          <w:b/>
          <w:color w:val="auto"/>
          <w:sz w:val="24"/>
          <w:szCs w:val="24"/>
        </w:rPr>
        <w:lastRenderedPageBreak/>
        <w:t>1 TEORETICKÁ VÝCHODISKA</w:t>
      </w:r>
      <w:bookmarkEnd w:id="1"/>
    </w:p>
    <w:p w14:paraId="3050476E" w14:textId="77777777" w:rsidR="002B4618" w:rsidRPr="006E33A2" w:rsidRDefault="002B4618" w:rsidP="004750F5">
      <w:pPr>
        <w:pStyle w:val="Bezmezer"/>
        <w:spacing w:line="276" w:lineRule="auto"/>
        <w:ind w:firstLine="284"/>
        <w:jc w:val="both"/>
        <w:rPr>
          <w:rFonts w:ascii="Times New Roman" w:hAnsi="Times New Roman" w:cs="Times New Roman"/>
          <w:sz w:val="24"/>
          <w:szCs w:val="24"/>
        </w:rPr>
      </w:pPr>
      <w:r w:rsidRPr="006E33A2">
        <w:rPr>
          <w:rFonts w:ascii="Times New Roman" w:hAnsi="Times New Roman" w:cs="Times New Roman"/>
          <w:sz w:val="24"/>
          <w:szCs w:val="24"/>
        </w:rPr>
        <w:t xml:space="preserve">Somatický stav a adekvátní vývoj dětské populace je oblastí zájmu lékařů, antropologů a dalších specialistů celého světa (Malina, </w:t>
      </w:r>
      <w:proofErr w:type="spellStart"/>
      <w:r w:rsidRPr="006E33A2">
        <w:rPr>
          <w:rFonts w:ascii="Times New Roman" w:hAnsi="Times New Roman" w:cs="Times New Roman"/>
          <w:sz w:val="24"/>
          <w:szCs w:val="24"/>
        </w:rPr>
        <w:t>Bouchard</w:t>
      </w:r>
      <w:proofErr w:type="spellEnd"/>
      <w:r w:rsidRPr="006E33A2">
        <w:rPr>
          <w:rFonts w:ascii="Times New Roman" w:hAnsi="Times New Roman" w:cs="Times New Roman"/>
          <w:sz w:val="24"/>
          <w:szCs w:val="24"/>
        </w:rPr>
        <w:t>, &amp; Bar-</w:t>
      </w:r>
      <w:proofErr w:type="spellStart"/>
      <w:r w:rsidRPr="006E33A2">
        <w:rPr>
          <w:rFonts w:ascii="Times New Roman" w:hAnsi="Times New Roman" w:cs="Times New Roman"/>
          <w:sz w:val="24"/>
          <w:szCs w:val="24"/>
        </w:rPr>
        <w:t>or</w:t>
      </w:r>
      <w:proofErr w:type="spellEnd"/>
      <w:r w:rsidRPr="006E33A2">
        <w:rPr>
          <w:rFonts w:ascii="Times New Roman" w:hAnsi="Times New Roman" w:cs="Times New Roman"/>
          <w:sz w:val="24"/>
          <w:szCs w:val="24"/>
        </w:rPr>
        <w:t xml:space="preserve">, 2004; Pařízková, 2015). Biomedicínským oborem zabývajícím se růstem a vývojem člověka je </w:t>
      </w:r>
      <w:proofErr w:type="spellStart"/>
      <w:r w:rsidRPr="006E33A2">
        <w:rPr>
          <w:rFonts w:ascii="Times New Roman" w:hAnsi="Times New Roman" w:cs="Times New Roman"/>
          <w:sz w:val="24"/>
          <w:szCs w:val="24"/>
        </w:rPr>
        <w:t>auxologie</w:t>
      </w:r>
      <w:proofErr w:type="spellEnd"/>
      <w:r w:rsidRPr="006E33A2">
        <w:rPr>
          <w:rFonts w:ascii="Times New Roman" w:hAnsi="Times New Roman" w:cs="Times New Roman"/>
          <w:sz w:val="24"/>
          <w:szCs w:val="24"/>
        </w:rPr>
        <w:t xml:space="preserve"> (</w:t>
      </w:r>
      <w:proofErr w:type="spellStart"/>
      <w:r w:rsidRPr="006E33A2">
        <w:rPr>
          <w:rFonts w:ascii="Times New Roman" w:hAnsi="Times New Roman" w:cs="Times New Roman"/>
          <w:sz w:val="24"/>
          <w:szCs w:val="24"/>
        </w:rPr>
        <w:t>Hermanussen</w:t>
      </w:r>
      <w:proofErr w:type="spellEnd"/>
      <w:r w:rsidRPr="006E33A2">
        <w:rPr>
          <w:rFonts w:ascii="Times New Roman" w:hAnsi="Times New Roman" w:cs="Times New Roman"/>
          <w:sz w:val="24"/>
          <w:szCs w:val="24"/>
        </w:rPr>
        <w:t>, 2013). Tělesná hmotnost, výškové rozměry, šířkové rozměry, obvodové parametry a další tělesné proporce jsou viditelným, srovnatelným a v mnoha směrech i měřitelným ukazatelem somatického stavu, fyzického růstu a tělesného zdraví (</w:t>
      </w:r>
      <w:proofErr w:type="spellStart"/>
      <w:r w:rsidRPr="006E33A2">
        <w:rPr>
          <w:rFonts w:ascii="Times New Roman" w:hAnsi="Times New Roman" w:cs="Times New Roman"/>
          <w:sz w:val="24"/>
          <w:szCs w:val="24"/>
        </w:rPr>
        <w:t>Cameron</w:t>
      </w:r>
      <w:proofErr w:type="spellEnd"/>
      <w:r w:rsidRPr="006E33A2">
        <w:rPr>
          <w:rFonts w:ascii="Times New Roman" w:hAnsi="Times New Roman" w:cs="Times New Roman"/>
          <w:sz w:val="24"/>
          <w:szCs w:val="24"/>
        </w:rPr>
        <w:t xml:space="preserve"> et al., 2005; Riegerová, Přidalová, &amp; </w:t>
      </w:r>
      <w:proofErr w:type="spellStart"/>
      <w:r w:rsidRPr="006E33A2">
        <w:rPr>
          <w:rFonts w:ascii="Times New Roman" w:hAnsi="Times New Roman" w:cs="Times New Roman"/>
          <w:sz w:val="24"/>
          <w:szCs w:val="24"/>
        </w:rPr>
        <w:t>Ulbrichová</w:t>
      </w:r>
      <w:proofErr w:type="spellEnd"/>
      <w:r w:rsidRPr="006E33A2">
        <w:rPr>
          <w:rFonts w:ascii="Times New Roman" w:hAnsi="Times New Roman" w:cs="Times New Roman"/>
          <w:sz w:val="24"/>
          <w:szCs w:val="24"/>
        </w:rPr>
        <w:t xml:space="preserve">, 2006; </w:t>
      </w:r>
      <w:proofErr w:type="spellStart"/>
      <w:r w:rsidRPr="006E33A2">
        <w:rPr>
          <w:rFonts w:ascii="Times New Roman" w:hAnsi="Times New Roman" w:cs="Times New Roman"/>
          <w:sz w:val="24"/>
          <w:szCs w:val="24"/>
        </w:rPr>
        <w:t>Vignerová</w:t>
      </w:r>
      <w:proofErr w:type="spellEnd"/>
      <w:r w:rsidRPr="006E33A2">
        <w:rPr>
          <w:rFonts w:ascii="Times New Roman" w:hAnsi="Times New Roman" w:cs="Times New Roman"/>
          <w:sz w:val="24"/>
          <w:szCs w:val="24"/>
        </w:rPr>
        <w:t xml:space="preserve"> &amp; Bláha, 2001).</w:t>
      </w:r>
    </w:p>
    <w:p w14:paraId="12D11C75" w14:textId="4D649411" w:rsidR="002B4618" w:rsidRPr="006E33A2" w:rsidRDefault="002B4618" w:rsidP="004750F5">
      <w:pPr>
        <w:pStyle w:val="Bezmezer"/>
        <w:spacing w:line="276" w:lineRule="auto"/>
        <w:ind w:firstLine="284"/>
        <w:jc w:val="both"/>
        <w:rPr>
          <w:rFonts w:ascii="Times New Roman" w:hAnsi="Times New Roman" w:cs="Times New Roman"/>
          <w:sz w:val="24"/>
          <w:szCs w:val="24"/>
        </w:rPr>
      </w:pPr>
      <w:r w:rsidRPr="006E33A2">
        <w:rPr>
          <w:rFonts w:ascii="Times New Roman" w:hAnsi="Times New Roman" w:cs="Times New Roman"/>
          <w:sz w:val="24"/>
          <w:szCs w:val="24"/>
        </w:rPr>
        <w:t>Globální vzestup prevalence nadváhy a obezity je patrný ve všech věkových kategoriích (</w:t>
      </w:r>
      <w:proofErr w:type="spellStart"/>
      <w:r w:rsidRPr="006E33A2">
        <w:rPr>
          <w:rFonts w:ascii="Times New Roman" w:hAnsi="Times New Roman" w:cs="Times New Roman"/>
          <w:sz w:val="24"/>
          <w:szCs w:val="24"/>
        </w:rPr>
        <w:t>Nasreddine</w:t>
      </w:r>
      <w:proofErr w:type="spellEnd"/>
      <w:r w:rsidRPr="006E33A2">
        <w:rPr>
          <w:rFonts w:ascii="Times New Roman" w:hAnsi="Times New Roman" w:cs="Times New Roman"/>
          <w:sz w:val="24"/>
          <w:szCs w:val="24"/>
        </w:rPr>
        <w:t xml:space="preserve"> et al., 2012; </w:t>
      </w:r>
      <w:proofErr w:type="spellStart"/>
      <w:r w:rsidRPr="006E33A2">
        <w:rPr>
          <w:rFonts w:ascii="Times New Roman" w:hAnsi="Times New Roman" w:cs="Times New Roman"/>
          <w:sz w:val="24"/>
          <w:szCs w:val="24"/>
        </w:rPr>
        <w:t>Ogden</w:t>
      </w:r>
      <w:proofErr w:type="spellEnd"/>
      <w:r w:rsidRPr="006E33A2">
        <w:rPr>
          <w:rFonts w:ascii="Times New Roman" w:hAnsi="Times New Roman" w:cs="Times New Roman"/>
          <w:sz w:val="24"/>
          <w:szCs w:val="24"/>
        </w:rPr>
        <w:t xml:space="preserve">, </w:t>
      </w:r>
      <w:proofErr w:type="spellStart"/>
      <w:r w:rsidRPr="006E33A2">
        <w:rPr>
          <w:rFonts w:ascii="Times New Roman" w:hAnsi="Times New Roman" w:cs="Times New Roman"/>
          <w:sz w:val="24"/>
          <w:szCs w:val="24"/>
        </w:rPr>
        <w:t>Carroll</w:t>
      </w:r>
      <w:proofErr w:type="spellEnd"/>
      <w:r w:rsidRPr="006E33A2">
        <w:rPr>
          <w:rFonts w:ascii="Times New Roman" w:hAnsi="Times New Roman" w:cs="Times New Roman"/>
          <w:sz w:val="24"/>
          <w:szCs w:val="24"/>
        </w:rPr>
        <w:t xml:space="preserve">, </w:t>
      </w:r>
      <w:proofErr w:type="spellStart"/>
      <w:r w:rsidRPr="006E33A2">
        <w:rPr>
          <w:rFonts w:ascii="Times New Roman" w:hAnsi="Times New Roman" w:cs="Times New Roman"/>
          <w:sz w:val="24"/>
          <w:szCs w:val="24"/>
        </w:rPr>
        <w:t>Kit</w:t>
      </w:r>
      <w:proofErr w:type="spellEnd"/>
      <w:r w:rsidRPr="006E33A2">
        <w:rPr>
          <w:rFonts w:ascii="Times New Roman" w:hAnsi="Times New Roman" w:cs="Times New Roman"/>
          <w:sz w:val="24"/>
          <w:szCs w:val="24"/>
        </w:rPr>
        <w:t xml:space="preserve">, &amp; </w:t>
      </w:r>
      <w:proofErr w:type="spellStart"/>
      <w:r w:rsidRPr="006E33A2">
        <w:rPr>
          <w:rFonts w:ascii="Times New Roman" w:hAnsi="Times New Roman" w:cs="Times New Roman"/>
          <w:sz w:val="24"/>
          <w:szCs w:val="24"/>
        </w:rPr>
        <w:t>Flegal</w:t>
      </w:r>
      <w:proofErr w:type="spellEnd"/>
      <w:r w:rsidRPr="006E33A2">
        <w:rPr>
          <w:rFonts w:ascii="Times New Roman" w:hAnsi="Times New Roman" w:cs="Times New Roman"/>
          <w:sz w:val="24"/>
          <w:szCs w:val="24"/>
        </w:rPr>
        <w:t>, 2012; WHO, 2016). Obezita je civilizační onemocnění charakteristické nadměrným hromaděním tuku v lidském organismu, je rizikovým faktorem řady neinfekčních onemocnění jak u dospělých, tak u dětí (</w:t>
      </w:r>
      <w:proofErr w:type="spellStart"/>
      <w:r w:rsidRPr="006E33A2">
        <w:rPr>
          <w:rFonts w:ascii="Times New Roman" w:hAnsi="Times New Roman" w:cs="Times New Roman"/>
          <w:sz w:val="24"/>
          <w:szCs w:val="24"/>
        </w:rPr>
        <w:t>Apovian</w:t>
      </w:r>
      <w:proofErr w:type="spellEnd"/>
      <w:r w:rsidRPr="006E33A2">
        <w:rPr>
          <w:rFonts w:ascii="Times New Roman" w:hAnsi="Times New Roman" w:cs="Times New Roman"/>
          <w:sz w:val="24"/>
          <w:szCs w:val="24"/>
        </w:rPr>
        <w:t>, 2016). Dětská obezita (</w:t>
      </w:r>
      <w:proofErr w:type="spellStart"/>
      <w:r w:rsidR="007E61D7">
        <w:rPr>
          <w:rFonts w:ascii="Times New Roman" w:hAnsi="Times New Roman" w:cs="Times New Roman"/>
          <w:i/>
          <w:sz w:val="24"/>
          <w:szCs w:val="24"/>
        </w:rPr>
        <w:t>p</w:t>
      </w:r>
      <w:r w:rsidRPr="006E33A2">
        <w:rPr>
          <w:rFonts w:ascii="Times New Roman" w:hAnsi="Times New Roman" w:cs="Times New Roman"/>
          <w:i/>
          <w:sz w:val="24"/>
          <w:szCs w:val="24"/>
        </w:rPr>
        <w:t>ediatric</w:t>
      </w:r>
      <w:proofErr w:type="spellEnd"/>
      <w:r w:rsidRPr="006E33A2">
        <w:rPr>
          <w:rFonts w:ascii="Times New Roman" w:hAnsi="Times New Roman" w:cs="Times New Roman"/>
          <w:i/>
          <w:sz w:val="24"/>
          <w:szCs w:val="24"/>
        </w:rPr>
        <w:t xml:space="preserve"> obesity</w:t>
      </w:r>
      <w:r w:rsidRPr="006E33A2">
        <w:rPr>
          <w:rFonts w:ascii="Times New Roman" w:hAnsi="Times New Roman" w:cs="Times New Roman"/>
          <w:sz w:val="24"/>
          <w:szCs w:val="24"/>
        </w:rPr>
        <w:t>) se navíc v mnoha případech přenáší do dospělosti se závažnými zdravotními konsekvencemi. Podle WHO (2016) přes 60 % dětí, které trpí nadváhou ještě před pubertou, budou trpět nadváhou i v dospělosti (WHO, 2009; WHO, 2016).</w:t>
      </w:r>
    </w:p>
    <w:p w14:paraId="7B3D71A4" w14:textId="77777777" w:rsidR="002B4618" w:rsidRPr="006E33A2" w:rsidRDefault="002B4618" w:rsidP="004750F5">
      <w:pPr>
        <w:pStyle w:val="Bezmezer"/>
        <w:spacing w:line="276" w:lineRule="auto"/>
        <w:ind w:firstLine="284"/>
        <w:jc w:val="both"/>
        <w:rPr>
          <w:rFonts w:ascii="Times New Roman" w:hAnsi="Times New Roman" w:cs="Times New Roman"/>
          <w:sz w:val="24"/>
          <w:szCs w:val="24"/>
        </w:rPr>
      </w:pPr>
      <w:r w:rsidRPr="006E33A2">
        <w:rPr>
          <w:rFonts w:ascii="Times New Roman" w:hAnsi="Times New Roman" w:cs="Times New Roman"/>
          <w:sz w:val="24"/>
          <w:szCs w:val="24"/>
        </w:rPr>
        <w:t>Počet českých dětí s nadváhou se zvýšil od 90. let do r. 2010 pětinásobně. Čtyři procenta dětí v ČR ohrožuje obezita na životě, tzn. 32 tis. dětí, trpí monstrózní obezitou. Jedno kilo nadváhy dítěte má svůj přesný ekonomický odraz, stojí 2 až 3 tisíce korun (</w:t>
      </w:r>
      <w:proofErr w:type="spellStart"/>
      <w:r w:rsidRPr="006E33A2">
        <w:rPr>
          <w:rFonts w:ascii="Times New Roman" w:hAnsi="Times New Roman" w:cs="Times New Roman"/>
          <w:sz w:val="24"/>
          <w:szCs w:val="24"/>
        </w:rPr>
        <w:t>Marinov</w:t>
      </w:r>
      <w:proofErr w:type="spellEnd"/>
      <w:r w:rsidRPr="006E33A2">
        <w:rPr>
          <w:rFonts w:ascii="Times New Roman" w:hAnsi="Times New Roman" w:cs="Times New Roman"/>
          <w:sz w:val="24"/>
          <w:szCs w:val="24"/>
        </w:rPr>
        <w:t xml:space="preserve"> &amp; Pastucha, 2012).</w:t>
      </w:r>
    </w:p>
    <w:p w14:paraId="7F3DA92B" w14:textId="63DC7A2D" w:rsidR="00DC04EB" w:rsidRDefault="002B4618" w:rsidP="004750F5">
      <w:pPr>
        <w:pStyle w:val="Bezmezer"/>
        <w:spacing w:line="276" w:lineRule="auto"/>
        <w:ind w:firstLine="284"/>
        <w:jc w:val="both"/>
        <w:rPr>
          <w:rFonts w:ascii="Times New Roman" w:hAnsi="Times New Roman" w:cs="Times New Roman"/>
          <w:sz w:val="24"/>
          <w:szCs w:val="24"/>
        </w:rPr>
      </w:pPr>
      <w:r w:rsidRPr="006E33A2">
        <w:rPr>
          <w:rFonts w:ascii="Times New Roman" w:hAnsi="Times New Roman" w:cs="Times New Roman"/>
          <w:sz w:val="24"/>
          <w:szCs w:val="24"/>
        </w:rPr>
        <w:t xml:space="preserve">Jak uvádí </w:t>
      </w:r>
      <w:proofErr w:type="spellStart"/>
      <w:r w:rsidRPr="006E33A2">
        <w:rPr>
          <w:rFonts w:ascii="Times New Roman" w:hAnsi="Times New Roman" w:cs="Times New Roman"/>
          <w:sz w:val="24"/>
          <w:szCs w:val="24"/>
        </w:rPr>
        <w:t>Marinov</w:t>
      </w:r>
      <w:proofErr w:type="spellEnd"/>
      <w:r w:rsidRPr="006E33A2">
        <w:rPr>
          <w:rFonts w:ascii="Times New Roman" w:hAnsi="Times New Roman" w:cs="Times New Roman"/>
          <w:sz w:val="24"/>
          <w:szCs w:val="24"/>
        </w:rPr>
        <w:t xml:space="preserve"> (2009), jediná účinná léčba obezity je primární prevence. V prevenci hraje významnou roli </w:t>
      </w:r>
      <w:proofErr w:type="spellStart"/>
      <w:r w:rsidRPr="006E33A2">
        <w:rPr>
          <w:rFonts w:ascii="Times New Roman" w:hAnsi="Times New Roman" w:cs="Times New Roman"/>
          <w:sz w:val="24"/>
          <w:szCs w:val="24"/>
        </w:rPr>
        <w:t>somatodiagnostika</w:t>
      </w:r>
      <w:proofErr w:type="spellEnd"/>
      <w:r w:rsidRPr="006E33A2">
        <w:rPr>
          <w:rFonts w:ascii="Times New Roman" w:hAnsi="Times New Roman" w:cs="Times New Roman"/>
          <w:sz w:val="24"/>
          <w:szCs w:val="24"/>
        </w:rPr>
        <w:t>, kterou je možno zachytit a následně za podpory lékařské péče udržet kanalizaci vybraných somatických parametrů u dítěte v rámci rozmezí percentilových grafů.</w:t>
      </w:r>
      <w:r w:rsidR="006E33A2">
        <w:rPr>
          <w:rFonts w:ascii="Times New Roman" w:hAnsi="Times New Roman" w:cs="Times New Roman"/>
          <w:sz w:val="24"/>
          <w:szCs w:val="24"/>
        </w:rPr>
        <w:t xml:space="preserve"> </w:t>
      </w:r>
      <w:r w:rsidR="00352ADA" w:rsidRPr="006E33A2">
        <w:rPr>
          <w:rFonts w:ascii="Times New Roman" w:hAnsi="Times New Roman" w:cs="Times New Roman"/>
          <w:sz w:val="24"/>
          <w:szCs w:val="24"/>
        </w:rPr>
        <w:t>Porovnávání naměřených antropometrických údajů jedince s populačním průměrem pomocí růstových grafů patří m</w:t>
      </w:r>
      <w:r w:rsidR="00DC04EB" w:rsidRPr="006E33A2">
        <w:rPr>
          <w:rFonts w:ascii="Times New Roman" w:hAnsi="Times New Roman" w:cs="Times New Roman"/>
          <w:sz w:val="24"/>
          <w:szCs w:val="24"/>
        </w:rPr>
        <w:t xml:space="preserve">ezi základní </w:t>
      </w:r>
      <w:r w:rsidR="00352ADA" w:rsidRPr="006E33A2">
        <w:rPr>
          <w:rFonts w:ascii="Times New Roman" w:hAnsi="Times New Roman" w:cs="Times New Roman"/>
          <w:sz w:val="24"/>
          <w:szCs w:val="24"/>
        </w:rPr>
        <w:t xml:space="preserve">metody hodnocení dětského růstu </w:t>
      </w:r>
      <w:r w:rsidR="00DC04EB" w:rsidRPr="006E33A2">
        <w:rPr>
          <w:rFonts w:ascii="Times New Roman" w:hAnsi="Times New Roman" w:cs="Times New Roman"/>
          <w:sz w:val="24"/>
          <w:szCs w:val="24"/>
        </w:rPr>
        <w:t>(Šmahel</w:t>
      </w:r>
      <w:r w:rsidR="00B53AC1">
        <w:rPr>
          <w:rFonts w:ascii="Times New Roman" w:hAnsi="Times New Roman" w:cs="Times New Roman"/>
          <w:sz w:val="24"/>
          <w:szCs w:val="24"/>
        </w:rPr>
        <w:t xml:space="preserve">, </w:t>
      </w:r>
      <w:r w:rsidR="00DC04EB" w:rsidRPr="006E33A2">
        <w:rPr>
          <w:rFonts w:ascii="Times New Roman" w:hAnsi="Times New Roman" w:cs="Times New Roman"/>
          <w:sz w:val="24"/>
          <w:szCs w:val="24"/>
        </w:rPr>
        <w:t xml:space="preserve">2001). </w:t>
      </w:r>
      <w:r w:rsidR="00D54997">
        <w:rPr>
          <w:rFonts w:ascii="Times New Roman" w:hAnsi="Times New Roman" w:cs="Times New Roman"/>
          <w:sz w:val="24"/>
          <w:szCs w:val="24"/>
        </w:rPr>
        <w:t xml:space="preserve">Růstové grafy jsou nepostradatelnou součástí pediatrické praxe z důvodu jednoduchého použití při hodnocení vývoje dítěte. </w:t>
      </w:r>
      <w:r w:rsidR="00352ADA" w:rsidRPr="006E33A2">
        <w:rPr>
          <w:rFonts w:ascii="Times New Roman" w:hAnsi="Times New Roman" w:cs="Times New Roman"/>
          <w:sz w:val="24"/>
          <w:szCs w:val="24"/>
        </w:rPr>
        <w:t>V</w:t>
      </w:r>
      <w:r w:rsidR="00DC04EB" w:rsidRPr="006E33A2">
        <w:rPr>
          <w:rFonts w:ascii="Times New Roman" w:hAnsi="Times New Roman" w:cs="Times New Roman"/>
          <w:sz w:val="24"/>
          <w:szCs w:val="24"/>
        </w:rPr>
        <w:t xml:space="preserve"> pravidelných intervalech prováděné antropometrické výzkumy jsou důležitým ukazatelem zdraví dětí a nejvhodnější způsobem, jak zhodnotit nutriční a zdravotní stav celé populace (</w:t>
      </w:r>
      <w:proofErr w:type="spellStart"/>
      <w:r w:rsidR="00DC04EB" w:rsidRPr="006E33A2">
        <w:rPr>
          <w:rFonts w:ascii="Times New Roman" w:hAnsi="Times New Roman" w:cs="Times New Roman"/>
          <w:sz w:val="24"/>
          <w:szCs w:val="24"/>
        </w:rPr>
        <w:t>Phyllis</w:t>
      </w:r>
      <w:proofErr w:type="spellEnd"/>
      <w:r w:rsidR="00DC04EB" w:rsidRPr="006E33A2">
        <w:rPr>
          <w:rFonts w:ascii="Times New Roman" w:hAnsi="Times New Roman" w:cs="Times New Roman"/>
          <w:sz w:val="24"/>
          <w:szCs w:val="24"/>
        </w:rPr>
        <w:t xml:space="preserve"> et al.</w:t>
      </w:r>
      <w:r w:rsidR="00B53AC1">
        <w:rPr>
          <w:rFonts w:ascii="Times New Roman" w:hAnsi="Times New Roman" w:cs="Times New Roman"/>
          <w:sz w:val="24"/>
          <w:szCs w:val="24"/>
        </w:rPr>
        <w:t>,</w:t>
      </w:r>
      <w:r w:rsidR="00DC04EB" w:rsidRPr="006E33A2">
        <w:rPr>
          <w:rFonts w:ascii="Times New Roman" w:hAnsi="Times New Roman" w:cs="Times New Roman"/>
          <w:sz w:val="24"/>
          <w:szCs w:val="24"/>
        </w:rPr>
        <w:t xml:space="preserve"> 1990).</w:t>
      </w:r>
    </w:p>
    <w:p w14:paraId="7B8FDBEA" w14:textId="148F66DA" w:rsidR="00D54997" w:rsidRPr="006E33A2" w:rsidRDefault="00D54997" w:rsidP="004750F5">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V současné době jsou v používání růstových referencí 3 základní trendy, a to využívání standardů dle WHO (např. Srbsko, Švýcarsko, Ukrajina)</w:t>
      </w:r>
      <w:r w:rsidR="00EA6477">
        <w:rPr>
          <w:rFonts w:ascii="Times New Roman" w:hAnsi="Times New Roman" w:cs="Times New Roman"/>
          <w:sz w:val="24"/>
          <w:szCs w:val="24"/>
        </w:rPr>
        <w:t xml:space="preserve"> (De </w:t>
      </w:r>
      <w:proofErr w:type="spellStart"/>
      <w:r w:rsidR="00EA6477">
        <w:rPr>
          <w:rFonts w:ascii="Times New Roman" w:hAnsi="Times New Roman" w:cs="Times New Roman"/>
          <w:sz w:val="24"/>
          <w:szCs w:val="24"/>
        </w:rPr>
        <w:t>Onis</w:t>
      </w:r>
      <w:proofErr w:type="spellEnd"/>
      <w:r w:rsidR="00EA6477">
        <w:rPr>
          <w:rFonts w:ascii="Times New Roman" w:hAnsi="Times New Roman" w:cs="Times New Roman"/>
          <w:sz w:val="24"/>
          <w:szCs w:val="24"/>
        </w:rPr>
        <w:t xml:space="preserve"> et al., 2012</w:t>
      </w:r>
      <w:r w:rsidR="00B53AC1">
        <w:rPr>
          <w:rFonts w:ascii="Times New Roman" w:hAnsi="Times New Roman" w:cs="Times New Roman"/>
          <w:sz w:val="24"/>
          <w:szCs w:val="24"/>
        </w:rPr>
        <w:t>; WHO, 2006</w:t>
      </w:r>
      <w:r w:rsidR="00EA6477">
        <w:rPr>
          <w:rFonts w:ascii="Times New Roman" w:hAnsi="Times New Roman" w:cs="Times New Roman"/>
          <w:sz w:val="24"/>
          <w:szCs w:val="24"/>
        </w:rPr>
        <w:t>)</w:t>
      </w:r>
      <w:r w:rsidR="007C10E9">
        <w:rPr>
          <w:rFonts w:ascii="Times New Roman" w:hAnsi="Times New Roman" w:cs="Times New Roman"/>
          <w:sz w:val="24"/>
          <w:szCs w:val="24"/>
        </w:rPr>
        <w:t>, případně jiných mezinárodně doporučovaných (CDC, IOTF) (</w:t>
      </w:r>
      <w:proofErr w:type="spellStart"/>
      <w:r w:rsidR="007C10E9" w:rsidRPr="001C643E">
        <w:rPr>
          <w:rFonts w:ascii="Times New Roman" w:hAnsi="Times New Roman" w:cs="Times New Roman"/>
          <w:color w:val="000000"/>
          <w:sz w:val="24"/>
          <w:szCs w:val="24"/>
        </w:rPr>
        <w:t>Kuczmarski</w:t>
      </w:r>
      <w:proofErr w:type="spellEnd"/>
      <w:r w:rsidR="007C10E9" w:rsidRPr="001C643E">
        <w:rPr>
          <w:rFonts w:ascii="Times New Roman" w:hAnsi="Times New Roman" w:cs="Times New Roman"/>
          <w:color w:val="000000"/>
          <w:sz w:val="24"/>
          <w:szCs w:val="24"/>
        </w:rPr>
        <w:t xml:space="preserve"> et al., </w:t>
      </w:r>
      <w:r w:rsidR="007C10E9" w:rsidRPr="009A4A75">
        <w:rPr>
          <w:rFonts w:ascii="Times New Roman" w:hAnsi="Times New Roman" w:cs="Times New Roman"/>
          <w:color w:val="000000"/>
          <w:sz w:val="24"/>
          <w:szCs w:val="24"/>
        </w:rPr>
        <w:t xml:space="preserve">2000; </w:t>
      </w:r>
      <w:r w:rsidR="007C10E9" w:rsidRPr="009A4A75">
        <w:rPr>
          <w:rFonts w:ascii="Times New Roman" w:hAnsi="Times New Roman" w:cs="Times New Roman"/>
          <w:color w:val="000000"/>
          <w:sz w:val="24"/>
          <w:szCs w:val="24"/>
        </w:rPr>
        <w:fldChar w:fldCharType="begin" w:fldLock="1"/>
      </w:r>
      <w:r w:rsidR="007C10E9" w:rsidRPr="009A4A75">
        <w:rPr>
          <w:rFonts w:ascii="Times New Roman" w:hAnsi="Times New Roman" w:cs="Times New Roman"/>
          <w:color w:val="000000"/>
          <w:sz w:val="24"/>
          <w:szCs w:val="24"/>
        </w:rPr>
        <w:instrText>ADDIN CSL_CITATION { "citationItems" : [ { "id" : "ITEM-1", "itemData" : { "DOI" : "10.1111/j.2047-6310.2012.Y00064.x", "ISBN" : "2047-6310", "ISSN" : "20476302", "PMID" : "22715120", "abstract" : "BACKGROUND: The international (International Obesity Task Force; IOTF) body mass index (BMI) cut-offs are widely used to assess the prevalence of child overweight, obesity and thinness. Based on data from six countries fitted by the LMS method, they link BMI values at 18 years (16, 17, 18.5, 25 and 30 kg m(-2)) to child centiles, which are averaged across the countries. Unlike other BMI references, e.g. the World Health Organization (WHO) standard, these cut-offs cannot be expressed as centiles (e.g. 85th).\\n\\nMETHODS: To address this, we averaged the previously unpublished L, M and S curves for the six countries, and used them to derive new cut-offs defined in terms of the centiles at 18 years corresponding to each BMI value. These new cut-offs were compared with the originals, and with the WHO standard and reference, by measuring their prevalence rates based on US and Chinese data.\\n\\nRESULTS: The new cut-offs were virtually identical to the originals, giving prevalence rates differing by &lt; 0.2% on average. The discrepancies were smaller for overweight and obesity than for thinness. The international and WHO prevalences were systematically different before/after age 5.\\n\\nCONCLUSIONS: Defining the international cut-offs in terms of the underlying LMS curves has several benefits. New cut-offs are easy to derive (e.g. BMI 35 for morbid obesity), and they can be expressed as BMI centiles (e.g. boys obesity = 98.9th centile), allowing them to be compared with other BMI references. For WHO, median BMI is relatively low in early life and high at older ages, probably due to its method of construction.", "author" : [ { "dropping-particle" : "", "family" : "Cole", "given" : "T. J.", "non-dropping-particle" : "", "parse-names" : false, "suffix" : "" }, { "dropping-particle" : "", "family" : "Lobstein", "given" : "T.", "non-dropping-particle" : "", "parse-names" : false, "suffix" : "" } ], "container-title" : "Pediatric Obesity", "id" : "ITEM-1", "issue" : "4", "issued" : { "date-parts" : [ [ "2012" ] ] }, "page" : "284-294", "title" : "Extended international (IOTF) body mass index cut-offs for thinness, overweight and obesity", "type" : "article-journal", "volume" : "7" }, "uris" : [ "http://www.mendeley.com/documents/?uuid=9df40b87-5505-4683-812c-1f5cfd1158f4" ] } ], "mendeley" : { "formattedCitation" : "(Cole &amp; Lobstein, 2012)", "manualFormatting" : "Cole &amp; Lobstein, 2012; ", "plainTextFormattedCitation" : "(Cole &amp; Lobstein, 2012)", "previouslyFormattedCitation" : "(Cole &amp; Lobstein, 2012)" }, "properties" : { "noteIndex" : 0 }, "schema" : "https://github.com/citation-style-language/schema/raw/master/csl-citation.json" }</w:instrText>
      </w:r>
      <w:r w:rsidR="007C10E9" w:rsidRPr="009A4A75">
        <w:rPr>
          <w:rFonts w:ascii="Times New Roman" w:hAnsi="Times New Roman" w:cs="Times New Roman"/>
          <w:color w:val="000000"/>
          <w:sz w:val="24"/>
          <w:szCs w:val="24"/>
        </w:rPr>
        <w:fldChar w:fldCharType="separate"/>
      </w:r>
      <w:r w:rsidR="007C10E9" w:rsidRPr="009A4A75">
        <w:rPr>
          <w:rFonts w:ascii="Times New Roman" w:hAnsi="Times New Roman" w:cs="Times New Roman"/>
          <w:noProof/>
          <w:color w:val="000000"/>
          <w:sz w:val="24"/>
          <w:szCs w:val="24"/>
        </w:rPr>
        <w:t xml:space="preserve">Cole &amp; Lobstein, 2012; </w:t>
      </w:r>
      <w:r w:rsidR="007C10E9" w:rsidRPr="009A4A75">
        <w:rPr>
          <w:rFonts w:ascii="Times New Roman" w:hAnsi="Times New Roman" w:cs="Times New Roman"/>
          <w:color w:val="000000"/>
          <w:sz w:val="24"/>
          <w:szCs w:val="24"/>
        </w:rPr>
        <w:fldChar w:fldCharType="end"/>
      </w:r>
      <w:r w:rsidR="007C10E9" w:rsidRPr="00A97879">
        <w:rPr>
          <w:rFonts w:ascii="Times New Roman" w:hAnsi="Times New Roman" w:cs="Times New Roman"/>
          <w:color w:val="000000"/>
          <w:sz w:val="24"/>
          <w:szCs w:val="24"/>
          <w:lang w:val="en-GB"/>
        </w:rPr>
        <w:t>Cole</w:t>
      </w:r>
      <w:r w:rsidR="00B53AC1">
        <w:rPr>
          <w:rFonts w:ascii="Times New Roman" w:hAnsi="Times New Roman" w:cs="Times New Roman"/>
          <w:color w:val="000000"/>
          <w:sz w:val="24"/>
          <w:szCs w:val="24"/>
        </w:rPr>
        <w:t xml:space="preserve"> et al., 2000</w:t>
      </w:r>
      <w:r w:rsidR="007C10E9">
        <w:rPr>
          <w:rFonts w:ascii="Times New Roman" w:hAnsi="Times New Roman" w:cs="Times New Roman"/>
          <w:color w:val="000000"/>
          <w:sz w:val="24"/>
          <w:szCs w:val="24"/>
        </w:rPr>
        <w:t>)</w:t>
      </w:r>
      <w:r>
        <w:rPr>
          <w:rFonts w:ascii="Times New Roman" w:hAnsi="Times New Roman" w:cs="Times New Roman"/>
          <w:sz w:val="24"/>
          <w:szCs w:val="24"/>
        </w:rPr>
        <w:t>, kombinace standardů WHO a národních referencí (např. Spojené království Velké Británie a Severního Irska, Polsko)</w:t>
      </w:r>
      <w:r w:rsidR="00B53AC1">
        <w:rPr>
          <w:rFonts w:ascii="Times New Roman" w:hAnsi="Times New Roman" w:cs="Times New Roman"/>
          <w:sz w:val="24"/>
          <w:szCs w:val="24"/>
        </w:rPr>
        <w:t xml:space="preserve"> </w:t>
      </w:r>
      <w:r w:rsidR="00EA6477">
        <w:rPr>
          <w:rFonts w:ascii="Times New Roman" w:hAnsi="Times New Roman" w:cs="Times New Roman"/>
          <w:sz w:val="24"/>
          <w:szCs w:val="24"/>
        </w:rPr>
        <w:t>(</w:t>
      </w:r>
      <w:proofErr w:type="spellStart"/>
      <w:r w:rsidR="00EA6477">
        <w:rPr>
          <w:rFonts w:ascii="Times New Roman" w:hAnsi="Times New Roman" w:cs="Times New Roman"/>
          <w:sz w:val="24"/>
          <w:szCs w:val="24"/>
        </w:rPr>
        <w:t>Kulaga</w:t>
      </w:r>
      <w:proofErr w:type="spellEnd"/>
      <w:r w:rsidR="00EA6477">
        <w:rPr>
          <w:rFonts w:ascii="Times New Roman" w:hAnsi="Times New Roman" w:cs="Times New Roman"/>
          <w:sz w:val="24"/>
          <w:szCs w:val="24"/>
        </w:rPr>
        <w:t xml:space="preserve"> et al., 2011, 2013; </w:t>
      </w:r>
      <w:proofErr w:type="spellStart"/>
      <w:r w:rsidR="00EA6477">
        <w:rPr>
          <w:rFonts w:ascii="Times New Roman" w:hAnsi="Times New Roman" w:cs="Times New Roman"/>
          <w:sz w:val="24"/>
          <w:szCs w:val="24"/>
        </w:rPr>
        <w:t>Wright</w:t>
      </w:r>
      <w:proofErr w:type="spellEnd"/>
      <w:r w:rsidR="00EA6477">
        <w:rPr>
          <w:rFonts w:ascii="Times New Roman" w:hAnsi="Times New Roman" w:cs="Times New Roman"/>
          <w:sz w:val="24"/>
          <w:szCs w:val="24"/>
        </w:rPr>
        <w:t xml:space="preserve"> et al., 2010, 2012)</w:t>
      </w:r>
      <w:r>
        <w:rPr>
          <w:rFonts w:ascii="Times New Roman" w:hAnsi="Times New Roman" w:cs="Times New Roman"/>
          <w:sz w:val="24"/>
          <w:szCs w:val="24"/>
        </w:rPr>
        <w:t xml:space="preserve"> nebo používán pouze národních referencí (ČR, Německo, Finsko)</w:t>
      </w:r>
      <w:r w:rsidR="00B53AC1">
        <w:rPr>
          <w:rFonts w:ascii="Times New Roman" w:hAnsi="Times New Roman" w:cs="Times New Roman"/>
          <w:sz w:val="24"/>
          <w:szCs w:val="24"/>
        </w:rPr>
        <w:t xml:space="preserve"> </w:t>
      </w:r>
      <w:r w:rsidR="00EA6477">
        <w:rPr>
          <w:rFonts w:ascii="Times New Roman" w:hAnsi="Times New Roman" w:cs="Times New Roman"/>
          <w:sz w:val="24"/>
          <w:szCs w:val="24"/>
        </w:rPr>
        <w:t xml:space="preserve">(Rosario et al., 2011; </w:t>
      </w:r>
      <w:proofErr w:type="spellStart"/>
      <w:r w:rsidR="00EA6477">
        <w:rPr>
          <w:rFonts w:ascii="Times New Roman" w:hAnsi="Times New Roman" w:cs="Times New Roman"/>
          <w:sz w:val="24"/>
          <w:szCs w:val="24"/>
        </w:rPr>
        <w:t>Saari</w:t>
      </w:r>
      <w:proofErr w:type="spellEnd"/>
      <w:r w:rsidR="00EA6477">
        <w:rPr>
          <w:rFonts w:ascii="Times New Roman" w:hAnsi="Times New Roman" w:cs="Times New Roman"/>
          <w:sz w:val="24"/>
          <w:szCs w:val="24"/>
        </w:rPr>
        <w:t xml:space="preserve"> et al., 2012;</w:t>
      </w:r>
      <w:r w:rsidR="00EA6477" w:rsidRPr="004D1CD6">
        <w:rPr>
          <w:rFonts w:ascii="Times New Roman" w:hAnsi="Times New Roman" w:cs="Times New Roman"/>
          <w:sz w:val="24"/>
          <w:szCs w:val="24"/>
        </w:rPr>
        <w:t xml:space="preserve"> </w:t>
      </w:r>
      <w:proofErr w:type="spellStart"/>
      <w:r w:rsidR="00EA6477">
        <w:rPr>
          <w:rFonts w:ascii="Times New Roman" w:hAnsi="Times New Roman" w:cs="Times New Roman"/>
          <w:sz w:val="24"/>
          <w:szCs w:val="24"/>
        </w:rPr>
        <w:t>Vignerová</w:t>
      </w:r>
      <w:proofErr w:type="spellEnd"/>
      <w:r w:rsidR="00EA6477">
        <w:rPr>
          <w:rFonts w:ascii="Times New Roman" w:hAnsi="Times New Roman" w:cs="Times New Roman"/>
          <w:sz w:val="24"/>
          <w:szCs w:val="24"/>
        </w:rPr>
        <w:t xml:space="preserve"> et al., 2006)</w:t>
      </w:r>
      <w:r>
        <w:rPr>
          <w:rFonts w:ascii="Times New Roman" w:hAnsi="Times New Roman" w:cs="Times New Roman"/>
          <w:sz w:val="24"/>
          <w:szCs w:val="24"/>
        </w:rPr>
        <w:t xml:space="preserve">. </w:t>
      </w:r>
    </w:p>
    <w:p w14:paraId="58F4A59B" w14:textId="77777777" w:rsidR="00937FC6" w:rsidRDefault="006E33A2" w:rsidP="004750F5">
      <w:pPr>
        <w:pStyle w:val="Bezmezer"/>
        <w:spacing w:line="276" w:lineRule="auto"/>
        <w:ind w:firstLine="284"/>
        <w:jc w:val="both"/>
        <w:rPr>
          <w:rFonts w:ascii="Times New Roman" w:hAnsi="Times New Roman" w:cs="Times New Roman"/>
          <w:sz w:val="24"/>
          <w:szCs w:val="24"/>
        </w:rPr>
      </w:pPr>
      <w:r w:rsidRPr="006E33A2">
        <w:rPr>
          <w:rFonts w:ascii="Times New Roman" w:hAnsi="Times New Roman" w:cs="Times New Roman"/>
          <w:sz w:val="24"/>
          <w:szCs w:val="24"/>
        </w:rPr>
        <w:t>Česká republika</w:t>
      </w:r>
      <w:r w:rsidR="006C2CC6">
        <w:rPr>
          <w:rFonts w:ascii="Times New Roman" w:hAnsi="Times New Roman" w:cs="Times New Roman"/>
          <w:sz w:val="24"/>
          <w:szCs w:val="24"/>
        </w:rPr>
        <w:t xml:space="preserve"> patří mezi země </w:t>
      </w:r>
      <w:r w:rsidRPr="006E33A2">
        <w:rPr>
          <w:rFonts w:ascii="Times New Roman" w:hAnsi="Times New Roman" w:cs="Times New Roman"/>
          <w:sz w:val="24"/>
          <w:szCs w:val="24"/>
        </w:rPr>
        <w:t>disponují</w:t>
      </w:r>
      <w:r w:rsidR="006C2CC6">
        <w:rPr>
          <w:rFonts w:ascii="Times New Roman" w:hAnsi="Times New Roman" w:cs="Times New Roman"/>
          <w:sz w:val="24"/>
          <w:szCs w:val="24"/>
        </w:rPr>
        <w:t>cí</w:t>
      </w:r>
      <w:r w:rsidRPr="006E33A2">
        <w:rPr>
          <w:rFonts w:ascii="Times New Roman" w:hAnsi="Times New Roman" w:cs="Times New Roman"/>
          <w:sz w:val="24"/>
          <w:szCs w:val="24"/>
        </w:rPr>
        <w:t xml:space="preserve"> národními růstovými referenčními daty</w:t>
      </w:r>
      <w:r w:rsidR="006C2CC6">
        <w:rPr>
          <w:rFonts w:ascii="Times New Roman" w:hAnsi="Times New Roman" w:cs="Times New Roman"/>
          <w:sz w:val="24"/>
          <w:szCs w:val="24"/>
        </w:rPr>
        <w:t xml:space="preserve"> (tělesná výška, hmotnost, BMI, obvodové parametry)</w:t>
      </w:r>
      <w:r w:rsidRPr="006E33A2">
        <w:rPr>
          <w:rFonts w:ascii="Times New Roman" w:hAnsi="Times New Roman" w:cs="Times New Roman"/>
          <w:sz w:val="24"/>
          <w:szCs w:val="24"/>
        </w:rPr>
        <w:t xml:space="preserve">. </w:t>
      </w:r>
      <w:r>
        <w:rPr>
          <w:rFonts w:ascii="Times New Roman" w:hAnsi="Times New Roman" w:cs="Times New Roman"/>
          <w:sz w:val="24"/>
          <w:szCs w:val="24"/>
        </w:rPr>
        <w:t>Celostátní</w:t>
      </w:r>
      <w:r w:rsidRPr="006E33A2">
        <w:rPr>
          <w:rFonts w:ascii="Times New Roman" w:hAnsi="Times New Roman" w:cs="Times New Roman"/>
          <w:sz w:val="24"/>
          <w:szCs w:val="24"/>
        </w:rPr>
        <w:t xml:space="preserve"> antropologické výzkumy byly pravidelně aktualizovány každých deset let od roku 1951 do roku 2001. Tato tradice v současnosti již neexistuje, v roce 2011 již CAV realizován nebyl. V současnosti slouží k hodnocení </w:t>
      </w:r>
      <w:r>
        <w:rPr>
          <w:rFonts w:ascii="Times New Roman" w:hAnsi="Times New Roman" w:cs="Times New Roman"/>
          <w:sz w:val="24"/>
          <w:szCs w:val="24"/>
        </w:rPr>
        <w:t xml:space="preserve">růstu </w:t>
      </w:r>
      <w:r w:rsidRPr="006E33A2">
        <w:rPr>
          <w:rFonts w:ascii="Times New Roman" w:hAnsi="Times New Roman" w:cs="Times New Roman"/>
          <w:sz w:val="24"/>
          <w:szCs w:val="24"/>
        </w:rPr>
        <w:t xml:space="preserve">dětí kombinace 5. a 6. CAV (data stará 26, resp. 16 let). Transverzální antropologické výzkumy na regionální úrovni tak vzhledem k aktualizaci a zisku dat nabývají </w:t>
      </w:r>
      <w:r w:rsidR="00D54997">
        <w:rPr>
          <w:rFonts w:ascii="Times New Roman" w:hAnsi="Times New Roman" w:cs="Times New Roman"/>
          <w:sz w:val="24"/>
          <w:szCs w:val="24"/>
        </w:rPr>
        <w:t>zásadního</w:t>
      </w:r>
      <w:r w:rsidRPr="006E33A2">
        <w:rPr>
          <w:rFonts w:ascii="Times New Roman" w:hAnsi="Times New Roman" w:cs="Times New Roman"/>
          <w:sz w:val="24"/>
          <w:szCs w:val="24"/>
        </w:rPr>
        <w:t xml:space="preserve"> </w:t>
      </w:r>
      <w:r w:rsidR="00D54997">
        <w:rPr>
          <w:rFonts w:ascii="Times New Roman" w:hAnsi="Times New Roman" w:cs="Times New Roman"/>
          <w:sz w:val="24"/>
          <w:szCs w:val="24"/>
        </w:rPr>
        <w:t>významu</w:t>
      </w:r>
      <w:r w:rsidRPr="006E33A2">
        <w:rPr>
          <w:rFonts w:ascii="Times New Roman" w:hAnsi="Times New Roman" w:cs="Times New Roman"/>
          <w:sz w:val="24"/>
          <w:szCs w:val="24"/>
        </w:rPr>
        <w:t>.</w:t>
      </w:r>
    </w:p>
    <w:p w14:paraId="3C82000E" w14:textId="77777777" w:rsidR="006E33A2" w:rsidRPr="009B6432" w:rsidRDefault="006E33A2" w:rsidP="009B6432">
      <w:pPr>
        <w:pStyle w:val="Bezmezer"/>
        <w:spacing w:line="276" w:lineRule="auto"/>
        <w:ind w:firstLine="284"/>
        <w:jc w:val="both"/>
        <w:rPr>
          <w:rFonts w:ascii="Times New Roman" w:hAnsi="Times New Roman" w:cs="Times New Roman"/>
          <w:sz w:val="24"/>
          <w:szCs w:val="24"/>
        </w:rPr>
      </w:pPr>
      <w:r w:rsidRPr="006E33A2">
        <w:rPr>
          <w:rFonts w:ascii="Times New Roman" w:hAnsi="Times New Roman" w:cs="Times New Roman"/>
          <w:sz w:val="24"/>
          <w:szCs w:val="24"/>
        </w:rPr>
        <w:lastRenderedPageBreak/>
        <w:t xml:space="preserve">K porovnání naměřeného tělesného parametru s populační variabilitou se používá percentilová metoda. Percentilová metoda je založená na sestavení percentilového grafu podle dat získaných z kontrolního, reprezentativního souboru. Výsledky vyšetřovaného se zanášejí do percentilové sítě. V percentilové síti ve skutečnosti každá ze 100 částí pokrývá jedno procento populační variability daného znaku. Běžně se v Evropě v praxi používají jen 3., 10., 50., 75., 90. a 97. percentil. Při normálním rozdělení představuje 50. percentil medián, polovinu populační variability pozorovaného znaku. Pomocí percentilových grafů lze matematicky vyjádřit jak křivku distanční, tak rychlostní. Jako fyziologické jsou v evropské populaci brány </w:t>
      </w:r>
      <w:r w:rsidRPr="009B6432">
        <w:rPr>
          <w:rFonts w:ascii="Times New Roman" w:hAnsi="Times New Roman" w:cs="Times New Roman"/>
          <w:sz w:val="24"/>
          <w:szCs w:val="24"/>
        </w:rPr>
        <w:t>hodnoty spadající do rozmezí mezi 3. až 97. percentilem (Šmahel 2001</w:t>
      </w:r>
      <w:r w:rsidR="00630ECA" w:rsidRPr="009B6432">
        <w:rPr>
          <w:rFonts w:ascii="Times New Roman" w:hAnsi="Times New Roman" w:cs="Times New Roman"/>
          <w:sz w:val="24"/>
          <w:szCs w:val="24"/>
        </w:rPr>
        <w:t xml:space="preserve">; </w:t>
      </w:r>
      <w:proofErr w:type="spellStart"/>
      <w:r w:rsidR="00630ECA" w:rsidRPr="009B6432">
        <w:rPr>
          <w:rFonts w:ascii="Times New Roman" w:hAnsi="Times New Roman" w:cs="Times New Roman"/>
          <w:sz w:val="24"/>
          <w:szCs w:val="24"/>
        </w:rPr>
        <w:t>Vignerová</w:t>
      </w:r>
      <w:proofErr w:type="spellEnd"/>
      <w:r w:rsidR="00630ECA" w:rsidRPr="009B6432">
        <w:rPr>
          <w:rFonts w:ascii="Times New Roman" w:hAnsi="Times New Roman" w:cs="Times New Roman"/>
          <w:sz w:val="24"/>
          <w:szCs w:val="24"/>
        </w:rPr>
        <w:t xml:space="preserve"> et al., 2006</w:t>
      </w:r>
      <w:r w:rsidRPr="009B6432">
        <w:rPr>
          <w:rFonts w:ascii="Times New Roman" w:hAnsi="Times New Roman" w:cs="Times New Roman"/>
          <w:sz w:val="24"/>
          <w:szCs w:val="24"/>
        </w:rPr>
        <w:t xml:space="preserve">).  </w:t>
      </w:r>
    </w:p>
    <w:p w14:paraId="11B83D62" w14:textId="571A962D" w:rsidR="001C643E" w:rsidRPr="009B6432" w:rsidRDefault="00352ADA" w:rsidP="009B6432">
      <w:pPr>
        <w:spacing w:after="0" w:line="276" w:lineRule="auto"/>
        <w:ind w:firstLine="567"/>
        <w:jc w:val="both"/>
        <w:rPr>
          <w:rFonts w:ascii="Times New Roman" w:hAnsi="Times New Roman" w:cs="Times New Roman"/>
          <w:sz w:val="24"/>
          <w:szCs w:val="24"/>
        </w:rPr>
      </w:pPr>
      <w:r w:rsidRPr="009B6432">
        <w:rPr>
          <w:rFonts w:ascii="Times New Roman" w:hAnsi="Times New Roman" w:cs="Times New Roman"/>
          <w:sz w:val="24"/>
          <w:szCs w:val="24"/>
        </w:rPr>
        <w:t xml:space="preserve">Mezi nejčastěji sledované růstové parametry v lidském fyzickém vývoji se řadí tělesná hmotnost a </w:t>
      </w:r>
      <w:r w:rsidR="001C643E" w:rsidRPr="009B6432">
        <w:rPr>
          <w:rFonts w:ascii="Times New Roman" w:hAnsi="Times New Roman" w:cs="Times New Roman"/>
          <w:sz w:val="24"/>
          <w:szCs w:val="24"/>
        </w:rPr>
        <w:t xml:space="preserve">tělesná </w:t>
      </w:r>
      <w:r w:rsidRPr="009B6432">
        <w:rPr>
          <w:rFonts w:ascii="Times New Roman" w:hAnsi="Times New Roman" w:cs="Times New Roman"/>
          <w:sz w:val="24"/>
          <w:szCs w:val="24"/>
        </w:rPr>
        <w:t xml:space="preserve">výška a z nich následně odvozený </w:t>
      </w:r>
      <w:r w:rsidR="001C643E" w:rsidRPr="009B6432">
        <w:rPr>
          <w:rFonts w:ascii="Times New Roman" w:hAnsi="Times New Roman" w:cs="Times New Roman"/>
          <w:sz w:val="24"/>
          <w:szCs w:val="24"/>
        </w:rPr>
        <w:t xml:space="preserve">Body </w:t>
      </w:r>
      <w:proofErr w:type="spellStart"/>
      <w:r w:rsidR="001C643E" w:rsidRPr="009B6432">
        <w:rPr>
          <w:rFonts w:ascii="Times New Roman" w:hAnsi="Times New Roman" w:cs="Times New Roman"/>
          <w:sz w:val="24"/>
          <w:szCs w:val="24"/>
        </w:rPr>
        <w:t>Mass</w:t>
      </w:r>
      <w:proofErr w:type="spellEnd"/>
      <w:r w:rsidR="001C643E" w:rsidRPr="009B6432">
        <w:rPr>
          <w:rFonts w:ascii="Times New Roman" w:hAnsi="Times New Roman" w:cs="Times New Roman"/>
          <w:sz w:val="24"/>
          <w:szCs w:val="24"/>
        </w:rPr>
        <w:t xml:space="preserve"> Index </w:t>
      </w:r>
      <w:r w:rsidR="006C2CC6" w:rsidRPr="009B6432">
        <w:rPr>
          <w:rFonts w:ascii="Times New Roman" w:hAnsi="Times New Roman" w:cs="Times New Roman"/>
          <w:sz w:val="24"/>
          <w:szCs w:val="24"/>
        </w:rPr>
        <w:t>(BMI)</w:t>
      </w:r>
      <w:r w:rsidR="00937FC6" w:rsidRPr="009B6432">
        <w:rPr>
          <w:rFonts w:ascii="Times New Roman" w:hAnsi="Times New Roman" w:cs="Times New Roman"/>
          <w:sz w:val="24"/>
          <w:szCs w:val="24"/>
        </w:rPr>
        <w:t xml:space="preserve">, který se běžně používá k posuzování </w:t>
      </w:r>
      <w:r w:rsidR="001C643E" w:rsidRPr="009B6432">
        <w:rPr>
          <w:rFonts w:ascii="Times New Roman" w:hAnsi="Times New Roman" w:cs="Times New Roman"/>
          <w:sz w:val="24"/>
          <w:szCs w:val="24"/>
        </w:rPr>
        <w:t>ideální hmotnosti dětské populace</w:t>
      </w:r>
      <w:r w:rsidR="007E61D7" w:rsidRPr="009B6432">
        <w:rPr>
          <w:rFonts w:ascii="Times New Roman" w:hAnsi="Times New Roman" w:cs="Times New Roman"/>
          <w:sz w:val="24"/>
          <w:szCs w:val="24"/>
        </w:rPr>
        <w:t xml:space="preserve">. </w:t>
      </w:r>
      <w:r w:rsidR="002B4618" w:rsidRPr="009B6432">
        <w:rPr>
          <w:rFonts w:ascii="Times New Roman" w:hAnsi="Times New Roman" w:cs="Times New Roman"/>
          <w:sz w:val="24"/>
          <w:szCs w:val="24"/>
        </w:rPr>
        <w:t xml:space="preserve">Dle </w:t>
      </w:r>
      <w:proofErr w:type="spellStart"/>
      <w:r w:rsidR="002B4618" w:rsidRPr="009B6432">
        <w:rPr>
          <w:rFonts w:ascii="Times New Roman" w:hAnsi="Times New Roman" w:cs="Times New Roman"/>
          <w:sz w:val="24"/>
          <w:szCs w:val="24"/>
        </w:rPr>
        <w:t>Wellse</w:t>
      </w:r>
      <w:proofErr w:type="spellEnd"/>
      <w:r w:rsidR="002B4618" w:rsidRPr="009B6432">
        <w:rPr>
          <w:rFonts w:ascii="Times New Roman" w:hAnsi="Times New Roman" w:cs="Times New Roman"/>
          <w:sz w:val="24"/>
          <w:szCs w:val="24"/>
        </w:rPr>
        <w:t xml:space="preserve"> (2014) BMI, který sice vykazuje silnou korelaci s hmotností a relativním zastoupením tukové hmoty, se takto standardně chová hlavně ve svých nízkých hodnotách (děti s nízkým procentem tuku) nebo ve vysokých hodnotách (děti s vysokým množstvím tukové hmoty). BMI má vysokou specifitu, ale velmi často nízkou senzitivitu nejen u dospělé populace (Gába &amp; Přidalová, 2015), ale také u dětí (</w:t>
      </w:r>
      <w:proofErr w:type="spellStart"/>
      <w:r w:rsidR="002B4618" w:rsidRPr="009B6432">
        <w:rPr>
          <w:rFonts w:ascii="Times New Roman" w:hAnsi="Times New Roman" w:cs="Times New Roman"/>
          <w:sz w:val="24"/>
          <w:szCs w:val="24"/>
        </w:rPr>
        <w:t>Wells</w:t>
      </w:r>
      <w:proofErr w:type="spellEnd"/>
      <w:r w:rsidR="002B4618" w:rsidRPr="009B6432">
        <w:rPr>
          <w:rFonts w:ascii="Times New Roman" w:hAnsi="Times New Roman" w:cs="Times New Roman"/>
          <w:sz w:val="24"/>
          <w:szCs w:val="24"/>
        </w:rPr>
        <w:t xml:space="preserve">, 2014; </w:t>
      </w:r>
      <w:proofErr w:type="spellStart"/>
      <w:r w:rsidR="002B4618" w:rsidRPr="009B6432">
        <w:rPr>
          <w:rFonts w:ascii="Times New Roman" w:hAnsi="Times New Roman" w:cs="Times New Roman"/>
          <w:sz w:val="24"/>
          <w:szCs w:val="24"/>
        </w:rPr>
        <w:t>Pietrobelli</w:t>
      </w:r>
      <w:proofErr w:type="spellEnd"/>
      <w:r w:rsidR="002B4618" w:rsidRPr="009B6432">
        <w:rPr>
          <w:rFonts w:ascii="Times New Roman" w:hAnsi="Times New Roman" w:cs="Times New Roman"/>
          <w:sz w:val="24"/>
          <w:szCs w:val="24"/>
        </w:rPr>
        <w:t xml:space="preserve"> &amp; </w:t>
      </w:r>
      <w:proofErr w:type="spellStart"/>
      <w:r w:rsidR="002B4618" w:rsidRPr="009B6432">
        <w:rPr>
          <w:rFonts w:ascii="Times New Roman" w:hAnsi="Times New Roman" w:cs="Times New Roman"/>
          <w:sz w:val="24"/>
          <w:szCs w:val="24"/>
        </w:rPr>
        <w:t>Heymsfield</w:t>
      </w:r>
      <w:proofErr w:type="spellEnd"/>
      <w:r w:rsidR="002B4618" w:rsidRPr="009B6432">
        <w:rPr>
          <w:rFonts w:ascii="Times New Roman" w:hAnsi="Times New Roman" w:cs="Times New Roman"/>
          <w:sz w:val="24"/>
          <w:szCs w:val="24"/>
        </w:rPr>
        <w:t xml:space="preserve">, 2002). Již </w:t>
      </w:r>
      <w:proofErr w:type="spellStart"/>
      <w:r w:rsidR="002B4618" w:rsidRPr="009B6432">
        <w:rPr>
          <w:rFonts w:ascii="Times New Roman" w:hAnsi="Times New Roman" w:cs="Times New Roman"/>
          <w:sz w:val="24"/>
          <w:szCs w:val="24"/>
        </w:rPr>
        <w:t>Hattori</w:t>
      </w:r>
      <w:proofErr w:type="spellEnd"/>
      <w:r w:rsidR="002B4618" w:rsidRPr="009B6432">
        <w:rPr>
          <w:rFonts w:ascii="Times New Roman" w:hAnsi="Times New Roman" w:cs="Times New Roman"/>
          <w:sz w:val="24"/>
          <w:szCs w:val="24"/>
        </w:rPr>
        <w:t xml:space="preserve"> et al. (1997) vytvořili graf, ve kterém je možno nalézt děti s rozdílným množstvím tukové hmoty v dané kategorii BMI a opačně, kdy stejná hodnota relativního zastoupení tuku představuje zařazení do různých kategorií BMI. </w:t>
      </w:r>
      <w:r w:rsidR="006C2CC6" w:rsidRPr="009B6432">
        <w:rPr>
          <w:rFonts w:ascii="Times New Roman" w:hAnsi="Times New Roman" w:cs="Times New Roman"/>
          <w:sz w:val="24"/>
          <w:szCs w:val="24"/>
        </w:rPr>
        <w:t>Nadváha a obezita jsou spjaty</w:t>
      </w:r>
      <w:r w:rsidR="00937FC6" w:rsidRPr="009B6432">
        <w:rPr>
          <w:rFonts w:ascii="Times New Roman" w:hAnsi="Times New Roman" w:cs="Times New Roman"/>
          <w:sz w:val="24"/>
          <w:szCs w:val="24"/>
        </w:rPr>
        <w:t xml:space="preserve"> s nadbytem tukové tkáně, tudíž by </w:t>
      </w:r>
      <w:r w:rsidR="006C2CC6" w:rsidRPr="009B6432">
        <w:rPr>
          <w:rFonts w:ascii="Times New Roman" w:hAnsi="Times New Roman" w:cs="Times New Roman"/>
          <w:sz w:val="24"/>
          <w:szCs w:val="24"/>
        </w:rPr>
        <w:t xml:space="preserve">při jejich diagnostice mělo být bráno v úvahu zejména zastoupení této tělesné frakce. </w:t>
      </w:r>
      <w:r w:rsidR="001C643E" w:rsidRPr="009B6432">
        <w:rPr>
          <w:rFonts w:ascii="Times New Roman" w:hAnsi="Times New Roman" w:cs="Times New Roman"/>
          <w:sz w:val="24"/>
          <w:szCs w:val="24"/>
        </w:rPr>
        <w:t xml:space="preserve">S rozvojem obezity velmi úzce souvisí také vývoj a změny postihující obvodové parametry na trupu. Abdominální obezita s sebou přináší významná zdravotní rizika, která mohou v adolescenci a dospělosti vyústit v metabolický syndrom, kardiovaskulární choroby a další zdravotní konsekvence (Pařízková </w:t>
      </w:r>
      <w:r w:rsidR="001C643E" w:rsidRPr="009B6432">
        <w:rPr>
          <w:rFonts w:ascii="Times New Roman" w:hAnsi="Times New Roman" w:cs="Times New Roman"/>
          <w:iCs/>
          <w:sz w:val="24"/>
          <w:szCs w:val="24"/>
        </w:rPr>
        <w:t>et al.</w:t>
      </w:r>
      <w:r w:rsidR="001C643E" w:rsidRPr="009B6432">
        <w:rPr>
          <w:rFonts w:ascii="Times New Roman" w:hAnsi="Times New Roman" w:cs="Times New Roman"/>
          <w:sz w:val="24"/>
          <w:szCs w:val="24"/>
        </w:rPr>
        <w:t xml:space="preserve">, 2012; </w:t>
      </w:r>
      <w:proofErr w:type="spellStart"/>
      <w:r w:rsidR="001C643E" w:rsidRPr="009B6432">
        <w:rPr>
          <w:rFonts w:ascii="Times New Roman" w:hAnsi="Times New Roman" w:cs="Times New Roman"/>
          <w:sz w:val="24"/>
          <w:szCs w:val="24"/>
        </w:rPr>
        <w:t>Schwandt</w:t>
      </w:r>
      <w:proofErr w:type="spellEnd"/>
      <w:r w:rsidR="001C643E" w:rsidRPr="009B6432">
        <w:rPr>
          <w:rFonts w:ascii="Times New Roman" w:hAnsi="Times New Roman" w:cs="Times New Roman"/>
          <w:sz w:val="24"/>
          <w:szCs w:val="24"/>
        </w:rPr>
        <w:t xml:space="preserve">, </w:t>
      </w:r>
      <w:proofErr w:type="spellStart"/>
      <w:r w:rsidR="001C643E" w:rsidRPr="009B6432">
        <w:rPr>
          <w:rFonts w:ascii="Times New Roman" w:hAnsi="Times New Roman" w:cs="Times New Roman"/>
          <w:sz w:val="24"/>
          <w:szCs w:val="24"/>
        </w:rPr>
        <w:t>Bertsch</w:t>
      </w:r>
      <w:proofErr w:type="spellEnd"/>
      <w:r w:rsidR="001C643E" w:rsidRPr="009B6432">
        <w:rPr>
          <w:rFonts w:ascii="Times New Roman" w:hAnsi="Times New Roman" w:cs="Times New Roman"/>
          <w:sz w:val="24"/>
          <w:szCs w:val="24"/>
        </w:rPr>
        <w:t xml:space="preserve">, &amp; Haas, 2010). Sekulární trend zvyšování tělesné výšky a zrychlený růst jsou pravděpodobně zodpovědné za změny AR v dětském věku, který se posouvá do mladších věkových kategorií. První nárůst </w:t>
      </w:r>
      <w:proofErr w:type="spellStart"/>
      <w:r w:rsidR="001C643E" w:rsidRPr="009B6432">
        <w:rPr>
          <w:rFonts w:ascii="Times New Roman" w:hAnsi="Times New Roman" w:cs="Times New Roman"/>
          <w:sz w:val="24"/>
          <w:szCs w:val="24"/>
        </w:rPr>
        <w:t>adiposity</w:t>
      </w:r>
      <w:proofErr w:type="spellEnd"/>
      <w:r w:rsidR="001C643E" w:rsidRPr="009B6432">
        <w:rPr>
          <w:rFonts w:ascii="Times New Roman" w:hAnsi="Times New Roman" w:cs="Times New Roman"/>
          <w:sz w:val="24"/>
          <w:szCs w:val="24"/>
        </w:rPr>
        <w:t xml:space="preserve"> </w:t>
      </w:r>
      <w:proofErr w:type="spellStart"/>
      <w:r w:rsidR="001C643E" w:rsidRPr="009B6432">
        <w:rPr>
          <w:rFonts w:ascii="Times New Roman" w:hAnsi="Times New Roman" w:cs="Times New Roman"/>
          <w:sz w:val="24"/>
          <w:szCs w:val="24"/>
        </w:rPr>
        <w:t>rebound</w:t>
      </w:r>
      <w:proofErr w:type="spellEnd"/>
      <w:r w:rsidR="001C643E" w:rsidRPr="009B6432">
        <w:rPr>
          <w:rFonts w:ascii="Times New Roman" w:hAnsi="Times New Roman" w:cs="Times New Roman"/>
          <w:sz w:val="24"/>
          <w:szCs w:val="24"/>
        </w:rPr>
        <w:t xml:space="preserve"> (AR nastupuje po narození do 1 roku, druhý odskok zaznamenáváme mezi 5.-7. rokem. Čím dřívější je nástup AR, tím větší hrozí riziko nadváhy. Načasování AR ovlivňuje nejen děti s nadváhou a obezitou, ale také děti s nízkou hmotností. Typický vzor představuje časný AR a následně zvýšená hodnota BMI (Johnson et al., 2012; Rolland-</w:t>
      </w:r>
      <w:proofErr w:type="spellStart"/>
      <w:r w:rsidR="001C643E" w:rsidRPr="009B6432">
        <w:rPr>
          <w:rFonts w:ascii="Times New Roman" w:hAnsi="Times New Roman" w:cs="Times New Roman"/>
          <w:sz w:val="24"/>
          <w:szCs w:val="24"/>
        </w:rPr>
        <w:t>Cachera</w:t>
      </w:r>
      <w:proofErr w:type="spellEnd"/>
      <w:r w:rsidR="001C643E" w:rsidRPr="009B6432">
        <w:rPr>
          <w:rFonts w:ascii="Times New Roman" w:hAnsi="Times New Roman" w:cs="Times New Roman"/>
          <w:sz w:val="24"/>
          <w:szCs w:val="24"/>
        </w:rPr>
        <w:t xml:space="preserve"> et al., 2006). Obvod pasu a index obvodu pasu k tělesné výšce se u dospívajících ve Velké Británii dramaticky zvýšil z 5 % na 17 % u mužů a z 1,5 % na 11,7 % u žen. V USA se zvyšuje neustále od roku 1988-1994 a následně 1999-2004. Nárůst centrální obezity u českých předškolních dětí prokázala Pařízková et al. (2012) na základě růstu kožních řas. </w:t>
      </w:r>
    </w:p>
    <w:p w14:paraId="205D8526" w14:textId="564EF041" w:rsidR="002B4618" w:rsidRPr="006E33A2" w:rsidRDefault="002B4618" w:rsidP="009B6432">
      <w:pPr>
        <w:pStyle w:val="Bezmezer"/>
        <w:spacing w:line="276" w:lineRule="auto"/>
        <w:ind w:firstLine="284"/>
        <w:jc w:val="both"/>
        <w:rPr>
          <w:rFonts w:ascii="Times New Roman" w:hAnsi="Times New Roman" w:cs="Times New Roman"/>
          <w:sz w:val="24"/>
          <w:szCs w:val="24"/>
        </w:rPr>
      </w:pPr>
      <w:r w:rsidRPr="009B6432">
        <w:rPr>
          <w:rFonts w:ascii="Times New Roman" w:hAnsi="Times New Roman" w:cs="Times New Roman"/>
          <w:sz w:val="24"/>
          <w:szCs w:val="24"/>
        </w:rPr>
        <w:t>Velmi důležité je rovněž zastoupení</w:t>
      </w:r>
      <w:r w:rsidRPr="006E33A2">
        <w:rPr>
          <w:rFonts w:ascii="Times New Roman" w:hAnsi="Times New Roman" w:cs="Times New Roman"/>
          <w:sz w:val="24"/>
          <w:szCs w:val="24"/>
        </w:rPr>
        <w:t xml:space="preserve"> kosterního svalstva, neboť poměr mezi svalovou a tukovou hmotou má vysoký potenciál k hodnocení metabolického zdraví (</w:t>
      </w:r>
      <w:proofErr w:type="spellStart"/>
      <w:r w:rsidRPr="006E33A2">
        <w:rPr>
          <w:rFonts w:ascii="Times New Roman" w:hAnsi="Times New Roman" w:cs="Times New Roman"/>
          <w:bCs/>
          <w:sz w:val="24"/>
          <w:szCs w:val="24"/>
        </w:rPr>
        <w:t>Pietrobelli</w:t>
      </w:r>
      <w:proofErr w:type="spellEnd"/>
      <w:r w:rsidRPr="006E33A2">
        <w:rPr>
          <w:rFonts w:ascii="Times New Roman" w:hAnsi="Times New Roman" w:cs="Times New Roman"/>
          <w:bCs/>
          <w:sz w:val="24"/>
          <w:szCs w:val="24"/>
        </w:rPr>
        <w:t xml:space="preserve">, </w:t>
      </w:r>
      <w:proofErr w:type="spellStart"/>
      <w:r w:rsidRPr="006E33A2">
        <w:rPr>
          <w:rFonts w:ascii="Times New Roman" w:hAnsi="Times New Roman" w:cs="Times New Roman"/>
          <w:bCs/>
          <w:sz w:val="24"/>
          <w:szCs w:val="24"/>
        </w:rPr>
        <w:t>Andreoli</w:t>
      </w:r>
      <w:proofErr w:type="spellEnd"/>
      <w:r w:rsidRPr="006E33A2">
        <w:rPr>
          <w:rFonts w:ascii="Times New Roman" w:hAnsi="Times New Roman" w:cs="Times New Roman"/>
          <w:bCs/>
          <w:sz w:val="24"/>
          <w:szCs w:val="24"/>
        </w:rPr>
        <w:t xml:space="preserve">, </w:t>
      </w:r>
      <w:proofErr w:type="spellStart"/>
      <w:r w:rsidRPr="006E33A2">
        <w:rPr>
          <w:rFonts w:ascii="Times New Roman" w:hAnsi="Times New Roman" w:cs="Times New Roman"/>
          <w:bCs/>
          <w:sz w:val="24"/>
          <w:szCs w:val="24"/>
        </w:rPr>
        <w:t>Cervelli</w:t>
      </w:r>
      <w:proofErr w:type="spellEnd"/>
      <w:r w:rsidRPr="006E33A2">
        <w:rPr>
          <w:rFonts w:ascii="Times New Roman" w:hAnsi="Times New Roman" w:cs="Times New Roman"/>
          <w:bCs/>
          <w:sz w:val="24"/>
          <w:szCs w:val="24"/>
        </w:rPr>
        <w:t xml:space="preserve">, </w:t>
      </w:r>
      <w:proofErr w:type="spellStart"/>
      <w:r w:rsidRPr="006E33A2">
        <w:rPr>
          <w:rFonts w:ascii="Times New Roman" w:hAnsi="Times New Roman" w:cs="Times New Roman"/>
          <w:bCs/>
          <w:sz w:val="24"/>
          <w:szCs w:val="24"/>
        </w:rPr>
        <w:t>Carbonelli</w:t>
      </w:r>
      <w:proofErr w:type="spellEnd"/>
      <w:r w:rsidRPr="006E33A2">
        <w:rPr>
          <w:rFonts w:ascii="Times New Roman" w:hAnsi="Times New Roman" w:cs="Times New Roman"/>
          <w:bCs/>
          <w:sz w:val="24"/>
          <w:szCs w:val="24"/>
        </w:rPr>
        <w:t xml:space="preserve">, </w:t>
      </w:r>
      <w:proofErr w:type="spellStart"/>
      <w:r w:rsidRPr="006E33A2">
        <w:rPr>
          <w:rFonts w:ascii="Times New Roman" w:hAnsi="Times New Roman" w:cs="Times New Roman"/>
          <w:bCs/>
          <w:sz w:val="24"/>
          <w:szCs w:val="24"/>
        </w:rPr>
        <w:t>Peroni</w:t>
      </w:r>
      <w:proofErr w:type="spellEnd"/>
      <w:r w:rsidRPr="006E33A2">
        <w:rPr>
          <w:rFonts w:ascii="Times New Roman" w:hAnsi="Times New Roman" w:cs="Times New Roman"/>
          <w:bCs/>
          <w:sz w:val="24"/>
          <w:szCs w:val="24"/>
        </w:rPr>
        <w:t xml:space="preserve">, &amp; De Lorenzo, </w:t>
      </w:r>
      <w:r w:rsidRPr="006E33A2">
        <w:rPr>
          <w:rFonts w:ascii="Times New Roman" w:hAnsi="Times New Roman" w:cs="Times New Roman"/>
          <w:sz w:val="24"/>
          <w:szCs w:val="24"/>
        </w:rPr>
        <w:t>2003).</w:t>
      </w:r>
      <w:r w:rsidR="006C2CC6">
        <w:rPr>
          <w:rFonts w:ascii="Times New Roman" w:hAnsi="Times New Roman" w:cs="Times New Roman"/>
          <w:sz w:val="24"/>
          <w:szCs w:val="24"/>
        </w:rPr>
        <w:t xml:space="preserve"> </w:t>
      </w:r>
      <w:r w:rsidR="00630ECA" w:rsidRPr="006E33A2">
        <w:rPr>
          <w:rFonts w:ascii="Times New Roman" w:hAnsi="Times New Roman" w:cs="Times New Roman"/>
          <w:sz w:val="24"/>
          <w:szCs w:val="24"/>
        </w:rPr>
        <w:t xml:space="preserve">Se zvyšujícím se socioekonomickým stavem české společnosti se mění i běžné denní návyky dnešních dětí a adolescentů. </w:t>
      </w:r>
      <w:r w:rsidR="006C2CC6" w:rsidRPr="006E33A2">
        <w:rPr>
          <w:rFonts w:ascii="Times New Roman" w:hAnsi="Times New Roman" w:cs="Times New Roman"/>
          <w:sz w:val="24"/>
          <w:szCs w:val="24"/>
        </w:rPr>
        <w:t xml:space="preserve">Snížená pohybová aktivita a dlouhé hodiny strávené u počítače nebo televize se odrážejí nejen na </w:t>
      </w:r>
      <w:r w:rsidR="00B53AC1">
        <w:rPr>
          <w:rFonts w:ascii="Times New Roman" w:hAnsi="Times New Roman" w:cs="Times New Roman"/>
          <w:sz w:val="24"/>
          <w:szCs w:val="24"/>
        </w:rPr>
        <w:t xml:space="preserve">celkové tělesné hmotnosti, </w:t>
      </w:r>
      <w:r w:rsidR="006C2CC6" w:rsidRPr="006E33A2">
        <w:rPr>
          <w:rFonts w:ascii="Times New Roman" w:hAnsi="Times New Roman" w:cs="Times New Roman"/>
          <w:sz w:val="24"/>
          <w:szCs w:val="24"/>
        </w:rPr>
        <w:t>ale i na</w:t>
      </w:r>
      <w:r w:rsidR="00B53AC1">
        <w:rPr>
          <w:rFonts w:ascii="Times New Roman" w:hAnsi="Times New Roman" w:cs="Times New Roman"/>
          <w:sz w:val="24"/>
          <w:szCs w:val="24"/>
        </w:rPr>
        <w:t xml:space="preserve"> podílu jednotlivých tělesných frakcí a na</w:t>
      </w:r>
      <w:r w:rsidR="006C2CC6" w:rsidRPr="006E33A2">
        <w:rPr>
          <w:rFonts w:ascii="Times New Roman" w:hAnsi="Times New Roman" w:cs="Times New Roman"/>
          <w:sz w:val="24"/>
          <w:szCs w:val="24"/>
        </w:rPr>
        <w:t xml:space="preserve"> fyzické kondici (Müllerová et </w:t>
      </w:r>
      <w:r w:rsidR="006C2CC6">
        <w:rPr>
          <w:rFonts w:ascii="Times New Roman" w:hAnsi="Times New Roman" w:cs="Times New Roman"/>
          <w:sz w:val="24"/>
          <w:szCs w:val="24"/>
        </w:rPr>
        <w:t>al</w:t>
      </w:r>
      <w:r w:rsidR="00B53AC1">
        <w:rPr>
          <w:rFonts w:ascii="Times New Roman" w:hAnsi="Times New Roman" w:cs="Times New Roman"/>
          <w:sz w:val="24"/>
          <w:szCs w:val="24"/>
        </w:rPr>
        <w:t>. 2015; Sigmund et al. 2015).</w:t>
      </w:r>
    </w:p>
    <w:p w14:paraId="66D5CDFD" w14:textId="2DCEF3A5" w:rsidR="00B53AC1" w:rsidRPr="00B53AC1" w:rsidRDefault="002B4618" w:rsidP="00B53AC1">
      <w:pPr>
        <w:ind w:firstLine="284"/>
        <w:jc w:val="both"/>
        <w:rPr>
          <w:rFonts w:ascii="Times New Roman" w:hAnsi="Times New Roman" w:cs="Times New Roman"/>
          <w:sz w:val="24"/>
          <w:szCs w:val="24"/>
        </w:rPr>
      </w:pPr>
      <w:r w:rsidRPr="00B53AC1">
        <w:rPr>
          <w:rFonts w:ascii="Times New Roman" w:hAnsi="Times New Roman" w:cs="Times New Roman"/>
          <w:sz w:val="24"/>
          <w:szCs w:val="24"/>
        </w:rPr>
        <w:lastRenderedPageBreak/>
        <w:t xml:space="preserve">Jak vyplývá z výše uvedených informací, </w:t>
      </w:r>
      <w:r w:rsidR="00630ECA" w:rsidRPr="00B53AC1">
        <w:rPr>
          <w:rFonts w:ascii="Times New Roman" w:hAnsi="Times New Roman" w:cs="Times New Roman"/>
          <w:sz w:val="24"/>
          <w:szCs w:val="24"/>
        </w:rPr>
        <w:t xml:space="preserve">nadváha a </w:t>
      </w:r>
      <w:r w:rsidRPr="00B53AC1">
        <w:rPr>
          <w:rFonts w:ascii="Times New Roman" w:hAnsi="Times New Roman" w:cs="Times New Roman"/>
          <w:sz w:val="24"/>
          <w:szCs w:val="24"/>
        </w:rPr>
        <w:t>obezita</w:t>
      </w:r>
      <w:r w:rsidR="00630ECA" w:rsidRPr="00B53AC1">
        <w:rPr>
          <w:rFonts w:ascii="Times New Roman" w:hAnsi="Times New Roman" w:cs="Times New Roman"/>
          <w:sz w:val="24"/>
          <w:szCs w:val="24"/>
        </w:rPr>
        <w:t xml:space="preserve">, případně nižší zastoupení svalové hmoty z důvodu přirozeně nižší pohybové aktivity, ohrožují i populaci českých dětí. </w:t>
      </w:r>
      <w:r w:rsidRPr="00B53AC1">
        <w:rPr>
          <w:rFonts w:ascii="Times New Roman" w:hAnsi="Times New Roman" w:cs="Times New Roman"/>
          <w:sz w:val="24"/>
          <w:szCs w:val="24"/>
        </w:rPr>
        <w:t xml:space="preserve">Na základě </w:t>
      </w:r>
      <w:r w:rsidR="00630ECA" w:rsidRPr="00B53AC1">
        <w:rPr>
          <w:rFonts w:ascii="Times New Roman" w:hAnsi="Times New Roman" w:cs="Times New Roman"/>
          <w:sz w:val="24"/>
          <w:szCs w:val="24"/>
        </w:rPr>
        <w:t>odborných východisek chceme vytvořit národní pohlavně specifické percentilové grafy množství svalové hmoty a tělesného tuku pro děti mladšího školního věku (tj. 6–11 let), které aktuálně v České republice postrádáme.</w:t>
      </w:r>
      <w:r w:rsidR="00B53AC1" w:rsidRPr="00B53AC1">
        <w:rPr>
          <w:rFonts w:ascii="Times New Roman" w:hAnsi="Times New Roman" w:cs="Times New Roman"/>
          <w:sz w:val="24"/>
          <w:szCs w:val="24"/>
        </w:rPr>
        <w:t xml:space="preserve"> </w:t>
      </w:r>
      <w:r w:rsidR="00B53AC1">
        <w:rPr>
          <w:rFonts w:ascii="Times New Roman" w:hAnsi="Times New Roman" w:cs="Times New Roman"/>
          <w:sz w:val="24"/>
          <w:szCs w:val="24"/>
        </w:rPr>
        <w:t xml:space="preserve">Při </w:t>
      </w:r>
      <w:r w:rsidR="00B53AC1" w:rsidRPr="00B53AC1">
        <w:rPr>
          <w:rFonts w:ascii="Times New Roman" w:hAnsi="Times New Roman" w:cs="Times New Roman"/>
          <w:sz w:val="24"/>
          <w:szCs w:val="24"/>
        </w:rPr>
        <w:t xml:space="preserve">použití těchto grafů bude při hodnocení hmotnostního stavu probanda jasné, zda je jeho tělesná hmotnost z pohledu tělesného složení v normě, či zda a jak se od průměru odchyluje. </w:t>
      </w:r>
    </w:p>
    <w:p w14:paraId="5B9397A1" w14:textId="77777777" w:rsidR="00DC04EB" w:rsidRDefault="00DC04EB" w:rsidP="00DC04EB">
      <w:pPr>
        <w:pStyle w:val="Nadpis1"/>
        <w:ind w:firstLine="0"/>
        <w:jc w:val="left"/>
        <w:rPr>
          <w:rFonts w:ascii="Times New Roman" w:hAnsi="Times New Roman" w:cs="Times New Roman"/>
          <w:b/>
          <w:color w:val="auto"/>
          <w:sz w:val="24"/>
          <w:szCs w:val="24"/>
        </w:rPr>
      </w:pPr>
      <w:bookmarkStart w:id="2" w:name="_Toc471898029"/>
      <w:bookmarkStart w:id="3" w:name="_Toc477332312"/>
      <w:r>
        <w:rPr>
          <w:rFonts w:ascii="Times New Roman" w:hAnsi="Times New Roman" w:cs="Times New Roman"/>
          <w:b/>
          <w:color w:val="auto"/>
          <w:sz w:val="24"/>
          <w:szCs w:val="24"/>
        </w:rPr>
        <w:t>2 CÍL</w:t>
      </w:r>
      <w:bookmarkEnd w:id="2"/>
      <w:bookmarkEnd w:id="3"/>
    </w:p>
    <w:p w14:paraId="482CDB8C" w14:textId="32001750" w:rsidR="00DC04EB" w:rsidRPr="00937FC6" w:rsidRDefault="00DC04EB" w:rsidP="004750F5">
      <w:pPr>
        <w:spacing w:line="276" w:lineRule="auto"/>
        <w:ind w:firstLine="284"/>
        <w:rPr>
          <w:rFonts w:ascii="Times New Roman" w:hAnsi="Times New Roman" w:cs="Times New Roman"/>
          <w:sz w:val="24"/>
          <w:szCs w:val="24"/>
        </w:rPr>
      </w:pPr>
      <w:r w:rsidRPr="00937FC6">
        <w:rPr>
          <w:rFonts w:ascii="Times New Roman" w:hAnsi="Times New Roman" w:cs="Times New Roman"/>
          <w:sz w:val="24"/>
          <w:szCs w:val="24"/>
        </w:rPr>
        <w:t>Cílem je vytvoři</w:t>
      </w:r>
      <w:r w:rsidR="00937FC6">
        <w:rPr>
          <w:rFonts w:ascii="Times New Roman" w:hAnsi="Times New Roman" w:cs="Times New Roman"/>
          <w:sz w:val="24"/>
          <w:szCs w:val="24"/>
        </w:rPr>
        <w:t xml:space="preserve">t </w:t>
      </w:r>
      <w:r w:rsidR="00630FAB">
        <w:rPr>
          <w:rFonts w:ascii="Times New Roman" w:hAnsi="Times New Roman" w:cs="Times New Roman"/>
          <w:sz w:val="24"/>
          <w:szCs w:val="24"/>
        </w:rPr>
        <w:t xml:space="preserve">národní </w:t>
      </w:r>
      <w:r w:rsidR="00EE618C" w:rsidRPr="00607B75">
        <w:rPr>
          <w:rFonts w:ascii="Times New Roman" w:hAnsi="Times New Roman" w:cs="Times New Roman"/>
          <w:sz w:val="24"/>
          <w:szCs w:val="24"/>
        </w:rPr>
        <w:t xml:space="preserve">růstové </w:t>
      </w:r>
      <w:r w:rsidR="00630FAB">
        <w:rPr>
          <w:rFonts w:ascii="Times New Roman" w:hAnsi="Times New Roman" w:cs="Times New Roman"/>
          <w:sz w:val="24"/>
          <w:szCs w:val="24"/>
        </w:rPr>
        <w:t>standardy</w:t>
      </w:r>
      <w:r w:rsidR="00937FC6">
        <w:rPr>
          <w:rFonts w:ascii="Times New Roman" w:hAnsi="Times New Roman" w:cs="Times New Roman"/>
          <w:sz w:val="24"/>
          <w:szCs w:val="24"/>
        </w:rPr>
        <w:t xml:space="preserve"> </w:t>
      </w:r>
      <w:r w:rsidR="001C643E">
        <w:rPr>
          <w:rFonts w:ascii="Times New Roman" w:hAnsi="Times New Roman" w:cs="Times New Roman"/>
          <w:sz w:val="24"/>
          <w:szCs w:val="24"/>
        </w:rPr>
        <w:t xml:space="preserve">pro parametry </w:t>
      </w:r>
      <w:r w:rsidRPr="00937FC6">
        <w:rPr>
          <w:rFonts w:ascii="Times New Roman" w:hAnsi="Times New Roman" w:cs="Times New Roman"/>
          <w:sz w:val="24"/>
          <w:szCs w:val="24"/>
        </w:rPr>
        <w:t xml:space="preserve">svalové hmoty a tělesného tuku u českých dětí ve věku 6–11 let. </w:t>
      </w:r>
    </w:p>
    <w:p w14:paraId="7BEF5E73" w14:textId="77777777" w:rsidR="00DC04EB" w:rsidRDefault="00DC04EB" w:rsidP="004750F5">
      <w:pPr>
        <w:pStyle w:val="Nadpis1"/>
        <w:spacing w:line="276" w:lineRule="auto"/>
        <w:ind w:firstLine="0"/>
        <w:jc w:val="left"/>
        <w:rPr>
          <w:rFonts w:ascii="Times New Roman" w:hAnsi="Times New Roman" w:cs="Times New Roman"/>
          <w:b/>
          <w:color w:val="auto"/>
          <w:sz w:val="24"/>
          <w:szCs w:val="24"/>
        </w:rPr>
      </w:pPr>
      <w:bookmarkStart w:id="4" w:name="_Toc471898032"/>
      <w:bookmarkStart w:id="5" w:name="_Toc477332313"/>
      <w:r>
        <w:rPr>
          <w:rFonts w:ascii="Times New Roman" w:hAnsi="Times New Roman" w:cs="Times New Roman"/>
          <w:b/>
          <w:color w:val="auto"/>
          <w:sz w:val="24"/>
          <w:szCs w:val="24"/>
        </w:rPr>
        <w:t>3 METODIKA</w:t>
      </w:r>
      <w:bookmarkEnd w:id="4"/>
      <w:bookmarkEnd w:id="5"/>
    </w:p>
    <w:p w14:paraId="290764C1" w14:textId="77777777" w:rsidR="00DC04EB" w:rsidRDefault="00DC04EB" w:rsidP="004750F5">
      <w:pPr>
        <w:pStyle w:val="Nadpis2"/>
        <w:spacing w:line="276" w:lineRule="auto"/>
        <w:ind w:firstLine="0"/>
        <w:jc w:val="left"/>
        <w:rPr>
          <w:rFonts w:ascii="Times New Roman" w:hAnsi="Times New Roman" w:cs="Times New Roman"/>
          <w:b/>
          <w:i/>
          <w:color w:val="auto"/>
          <w:sz w:val="24"/>
          <w:szCs w:val="24"/>
        </w:rPr>
      </w:pPr>
      <w:bookmarkStart w:id="6" w:name="_Toc471898033"/>
      <w:bookmarkStart w:id="7" w:name="_Toc477332314"/>
      <w:r>
        <w:rPr>
          <w:rFonts w:ascii="Times New Roman" w:hAnsi="Times New Roman" w:cs="Times New Roman"/>
          <w:b/>
          <w:i/>
          <w:color w:val="auto"/>
          <w:sz w:val="24"/>
          <w:szCs w:val="24"/>
        </w:rPr>
        <w:t>Design studie</w:t>
      </w:r>
      <w:bookmarkEnd w:id="6"/>
      <w:bookmarkEnd w:id="7"/>
    </w:p>
    <w:p w14:paraId="1BB10713" w14:textId="78B770B8" w:rsidR="00DC04EB" w:rsidRPr="00DA48AF" w:rsidRDefault="00DC04EB" w:rsidP="004750F5">
      <w:pPr>
        <w:pStyle w:val="Bezmezer"/>
        <w:spacing w:line="276" w:lineRule="auto"/>
        <w:ind w:firstLine="284"/>
        <w:jc w:val="both"/>
        <w:rPr>
          <w:rFonts w:ascii="Times New Roman" w:hAnsi="Times New Roman" w:cs="Times New Roman"/>
          <w:sz w:val="24"/>
        </w:rPr>
      </w:pPr>
      <w:r w:rsidRPr="00DA48AF">
        <w:rPr>
          <w:rFonts w:ascii="Times New Roman" w:hAnsi="Times New Roman" w:cs="Times New Roman"/>
          <w:sz w:val="24"/>
        </w:rPr>
        <w:t>Jedná se o jednorázovou průřezovou kvantitativní studii. V jejím rámci budou sledovány parametry tělesného složen</w:t>
      </w:r>
      <w:r w:rsidR="00630FAB">
        <w:rPr>
          <w:rFonts w:ascii="Times New Roman" w:hAnsi="Times New Roman" w:cs="Times New Roman"/>
          <w:sz w:val="24"/>
        </w:rPr>
        <w:t>í u dětí mladšího školního věku, zejména množství svalové hmoty a tělesného tuku.</w:t>
      </w:r>
      <w:r w:rsidRPr="00DA48AF">
        <w:rPr>
          <w:rFonts w:ascii="Times New Roman" w:hAnsi="Times New Roman" w:cs="Times New Roman"/>
          <w:sz w:val="24"/>
        </w:rPr>
        <w:t xml:space="preserve"> Složení těla bude posuzováno objektivně prostřednictvím analýzy tělesného složení metodou MF-BIA. Výzkumný soubor bude rozdělen na dílčí soubory dle pohlaví a kalendářního věku, bude tak možné vyhodnotit intersexuální a věkové rozdíly v</w:t>
      </w:r>
      <w:r w:rsidR="00607B75">
        <w:rPr>
          <w:rFonts w:ascii="Times New Roman" w:hAnsi="Times New Roman" w:cs="Times New Roman"/>
          <w:sz w:val="24"/>
        </w:rPr>
        <w:t xml:space="preserve">e vybraných parametrech </w:t>
      </w:r>
      <w:r w:rsidRPr="00DA48AF">
        <w:rPr>
          <w:rFonts w:ascii="Times New Roman" w:hAnsi="Times New Roman" w:cs="Times New Roman"/>
          <w:sz w:val="24"/>
        </w:rPr>
        <w:t>tělesném složení.</w:t>
      </w:r>
    </w:p>
    <w:p w14:paraId="716917E6" w14:textId="137201B3" w:rsidR="00DC04EB" w:rsidRPr="00DA48AF" w:rsidRDefault="00DC04EB" w:rsidP="004750F5">
      <w:pPr>
        <w:pStyle w:val="Bezmezer"/>
        <w:spacing w:line="276" w:lineRule="auto"/>
        <w:ind w:firstLine="284"/>
        <w:jc w:val="both"/>
        <w:rPr>
          <w:rFonts w:ascii="Times New Roman" w:hAnsi="Times New Roman" w:cs="Times New Roman"/>
          <w:sz w:val="24"/>
        </w:rPr>
      </w:pPr>
      <w:r w:rsidRPr="00DA48AF">
        <w:rPr>
          <w:rFonts w:ascii="Times New Roman" w:hAnsi="Times New Roman" w:cs="Times New Roman"/>
          <w:sz w:val="24"/>
        </w:rPr>
        <w:t>Výzkum bude realizován na prvním stupni základních škol (ZŠ) v</w:t>
      </w:r>
      <w:r w:rsidR="001C643E">
        <w:rPr>
          <w:rFonts w:ascii="Times New Roman" w:hAnsi="Times New Roman" w:cs="Times New Roman"/>
          <w:sz w:val="24"/>
        </w:rPr>
        <w:t>e vybraných krajích</w:t>
      </w:r>
      <w:r w:rsidRPr="001C643E">
        <w:rPr>
          <w:rFonts w:ascii="Times New Roman" w:hAnsi="Times New Roman" w:cs="Times New Roman"/>
          <w:color w:val="FF0000"/>
          <w:sz w:val="24"/>
        </w:rPr>
        <w:t xml:space="preserve"> </w:t>
      </w:r>
      <w:r w:rsidRPr="00DA48AF">
        <w:rPr>
          <w:rFonts w:ascii="Times New Roman" w:hAnsi="Times New Roman" w:cs="Times New Roman"/>
          <w:sz w:val="24"/>
        </w:rPr>
        <w:t>České republiky.</w:t>
      </w:r>
    </w:p>
    <w:p w14:paraId="67C6D501" w14:textId="189A1DFB" w:rsidR="00DA48AF" w:rsidRPr="00DA48AF" w:rsidRDefault="00DC04EB" w:rsidP="004750F5">
      <w:pPr>
        <w:pStyle w:val="Bezmezer"/>
        <w:spacing w:line="276" w:lineRule="auto"/>
        <w:ind w:firstLine="284"/>
        <w:jc w:val="both"/>
        <w:rPr>
          <w:rFonts w:ascii="Times New Roman" w:hAnsi="Times New Roman" w:cs="Times New Roman"/>
          <w:sz w:val="24"/>
        </w:rPr>
      </w:pPr>
      <w:r w:rsidRPr="00DA48AF">
        <w:rPr>
          <w:rFonts w:ascii="Times New Roman" w:hAnsi="Times New Roman" w:cs="Times New Roman"/>
          <w:sz w:val="24"/>
        </w:rPr>
        <w:t xml:space="preserve">Sledování somatických parametrů dětí mladšího školního věku probíhá </w:t>
      </w:r>
      <w:r w:rsidR="00DA48AF" w:rsidRPr="00DA48AF">
        <w:rPr>
          <w:rFonts w:ascii="Times New Roman" w:hAnsi="Times New Roman" w:cs="Times New Roman"/>
          <w:sz w:val="24"/>
        </w:rPr>
        <w:t xml:space="preserve">na katedře přírodních věd v kinantropologii FTK UPOL </w:t>
      </w:r>
      <w:r w:rsidRPr="00DA48AF">
        <w:rPr>
          <w:rFonts w:ascii="Times New Roman" w:hAnsi="Times New Roman" w:cs="Times New Roman"/>
          <w:sz w:val="24"/>
        </w:rPr>
        <w:t xml:space="preserve">kontinuálně od roku 2013 a je pravidelnou součástí projektů IGA a GAČR řešených v roce 2015, </w:t>
      </w:r>
      <w:r w:rsidR="00607B75">
        <w:rPr>
          <w:rFonts w:ascii="Times New Roman" w:hAnsi="Times New Roman" w:cs="Times New Roman"/>
          <w:sz w:val="24"/>
        </w:rPr>
        <w:t xml:space="preserve">aktuálně součástí </w:t>
      </w:r>
      <w:r w:rsidRPr="00DA48AF">
        <w:rPr>
          <w:rFonts w:ascii="Times New Roman" w:hAnsi="Times New Roman" w:cs="Times New Roman"/>
          <w:sz w:val="24"/>
        </w:rPr>
        <w:t>projekt</w:t>
      </w:r>
      <w:r w:rsidR="00607B75">
        <w:rPr>
          <w:rFonts w:ascii="Times New Roman" w:hAnsi="Times New Roman" w:cs="Times New Roman"/>
          <w:sz w:val="24"/>
        </w:rPr>
        <w:t>ů</w:t>
      </w:r>
      <w:r w:rsidRPr="00DA48AF">
        <w:rPr>
          <w:rFonts w:ascii="Times New Roman" w:hAnsi="Times New Roman" w:cs="Times New Roman"/>
          <w:sz w:val="24"/>
        </w:rPr>
        <w:t xml:space="preserve"> disertačních prací Mgr. Zbořilové a Mgr. </w:t>
      </w:r>
      <w:proofErr w:type="spellStart"/>
      <w:r w:rsidRPr="00DA48AF">
        <w:rPr>
          <w:rFonts w:ascii="Times New Roman" w:hAnsi="Times New Roman" w:cs="Times New Roman"/>
          <w:sz w:val="24"/>
        </w:rPr>
        <w:t>Cinařové</w:t>
      </w:r>
      <w:proofErr w:type="spellEnd"/>
      <w:r w:rsidRPr="00DA48AF">
        <w:rPr>
          <w:rFonts w:ascii="Times New Roman" w:hAnsi="Times New Roman" w:cs="Times New Roman"/>
          <w:sz w:val="24"/>
        </w:rPr>
        <w:t xml:space="preserve"> a projektů bakalářských a diplomových prací.</w:t>
      </w:r>
      <w:r w:rsidRPr="00DA48AF">
        <w:rPr>
          <w:rFonts w:ascii="Times New Roman" w:hAnsi="Times New Roman" w:cs="Times New Roman"/>
          <w:sz w:val="24"/>
        </w:rPr>
        <w:tab/>
      </w:r>
    </w:p>
    <w:p w14:paraId="51E66A58" w14:textId="1184C68A" w:rsidR="00DA48AF" w:rsidRPr="00DA48AF" w:rsidRDefault="00DC04EB" w:rsidP="004750F5">
      <w:pPr>
        <w:pStyle w:val="Bezmezer"/>
        <w:spacing w:line="276" w:lineRule="auto"/>
        <w:ind w:firstLine="284"/>
        <w:jc w:val="both"/>
        <w:rPr>
          <w:rFonts w:ascii="Times New Roman" w:hAnsi="Times New Roman" w:cs="Times New Roman"/>
          <w:sz w:val="24"/>
        </w:rPr>
      </w:pPr>
      <w:r w:rsidRPr="00DA48AF">
        <w:rPr>
          <w:rFonts w:ascii="Times New Roman" w:hAnsi="Times New Roman" w:cs="Times New Roman"/>
          <w:sz w:val="24"/>
        </w:rPr>
        <w:t xml:space="preserve">Téma a problematika dětí mladšího školního věku v kontextu </w:t>
      </w:r>
      <w:proofErr w:type="spellStart"/>
      <w:r w:rsidRPr="00DA48AF">
        <w:rPr>
          <w:rFonts w:ascii="Times New Roman" w:hAnsi="Times New Roman" w:cs="Times New Roman"/>
          <w:sz w:val="24"/>
        </w:rPr>
        <w:t>obezitogenních</w:t>
      </w:r>
      <w:proofErr w:type="spellEnd"/>
      <w:r w:rsidRPr="00DA48AF">
        <w:rPr>
          <w:rFonts w:ascii="Times New Roman" w:hAnsi="Times New Roman" w:cs="Times New Roman"/>
          <w:sz w:val="24"/>
        </w:rPr>
        <w:t xml:space="preserve"> faktorů je řešena na katedře přírodních věd v kinantropologii dlouhodobě.</w:t>
      </w:r>
      <w:r w:rsidR="00DA48AF" w:rsidRPr="00DA48AF">
        <w:rPr>
          <w:rFonts w:ascii="Times New Roman" w:hAnsi="Times New Roman" w:cs="Times New Roman"/>
          <w:sz w:val="24"/>
        </w:rPr>
        <w:t xml:space="preserve"> </w:t>
      </w:r>
    </w:p>
    <w:p w14:paraId="0F8A89CA" w14:textId="77777777" w:rsidR="00DC04EB" w:rsidRDefault="00DC04EB" w:rsidP="00DC04EB">
      <w:pPr>
        <w:pStyle w:val="Bezmezer"/>
        <w:ind w:firstLine="284"/>
        <w:jc w:val="both"/>
        <w:rPr>
          <w:rFonts w:ascii="Times New Roman" w:hAnsi="Times New Roman" w:cs="Times New Roman"/>
          <w:sz w:val="24"/>
          <w:szCs w:val="24"/>
        </w:rPr>
      </w:pPr>
    </w:p>
    <w:p w14:paraId="50D4B95D" w14:textId="77777777" w:rsidR="00DC04EB" w:rsidRDefault="00DC04EB" w:rsidP="004750F5">
      <w:pPr>
        <w:pStyle w:val="Nadpis2"/>
        <w:spacing w:line="276" w:lineRule="auto"/>
        <w:ind w:firstLine="0"/>
        <w:rPr>
          <w:rFonts w:ascii="Times New Roman" w:hAnsi="Times New Roman" w:cs="Times New Roman"/>
          <w:b/>
          <w:i/>
          <w:color w:val="auto"/>
          <w:sz w:val="24"/>
          <w:szCs w:val="24"/>
        </w:rPr>
      </w:pPr>
      <w:bookmarkStart w:id="8" w:name="_Toc471898034"/>
      <w:bookmarkStart w:id="9" w:name="_Toc477332315"/>
      <w:r>
        <w:rPr>
          <w:rFonts w:ascii="Times New Roman" w:hAnsi="Times New Roman" w:cs="Times New Roman"/>
          <w:b/>
          <w:i/>
          <w:color w:val="auto"/>
          <w:sz w:val="24"/>
          <w:szCs w:val="24"/>
        </w:rPr>
        <w:t>Výzkumný soubor</w:t>
      </w:r>
      <w:bookmarkEnd w:id="8"/>
      <w:bookmarkEnd w:id="9"/>
    </w:p>
    <w:p w14:paraId="0BD7FA5B" w14:textId="77777777" w:rsidR="00DC04EB" w:rsidRDefault="00DC04EB" w:rsidP="004750F5">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Výzkumný soubor budou představovat zdraví jedinci (chlapci i dívky) mladšího školního věku (tj. ve věku 6–11 let), jejichž zákonní zástupci byli seznámeni s etickými aspekty výzkumu a svým podpisem stvrzují informovaný souhlas s participací na výzkumu. Důvodem pro vyřazení je takový zdravotní stav či zdravotní kontraindikace, která znemožňuje vyšetření tělesného složení metodou multifrekvenční bioelektrické impedance přístrojem </w:t>
      </w:r>
      <w:proofErr w:type="spellStart"/>
      <w:r>
        <w:rPr>
          <w:rFonts w:ascii="Times New Roman" w:hAnsi="Times New Roman" w:cs="Times New Roman"/>
          <w:sz w:val="24"/>
          <w:szCs w:val="24"/>
        </w:rPr>
        <w:t>InBody</w:t>
      </w:r>
      <w:proofErr w:type="spellEnd"/>
      <w:r>
        <w:rPr>
          <w:rFonts w:ascii="Times New Roman" w:hAnsi="Times New Roman" w:cs="Times New Roman"/>
          <w:sz w:val="24"/>
          <w:szCs w:val="24"/>
        </w:rPr>
        <w:t xml:space="preserve"> 720 (např. přítomnost kardiostimulátoru nebo jiného zařízení, které pracuje na podobném principu, zlomeniny končetin fixované pomocí sádry nebo fixačních </w:t>
      </w:r>
      <w:proofErr w:type="gramStart"/>
      <w:r>
        <w:rPr>
          <w:rFonts w:ascii="Times New Roman" w:hAnsi="Times New Roman" w:cs="Times New Roman"/>
          <w:sz w:val="24"/>
          <w:szCs w:val="24"/>
        </w:rPr>
        <w:t>dlah,</w:t>
      </w:r>
      <w:proofErr w:type="gramEnd"/>
      <w:r>
        <w:rPr>
          <w:rFonts w:ascii="Times New Roman" w:hAnsi="Times New Roman" w:cs="Times New Roman"/>
          <w:sz w:val="24"/>
          <w:szCs w:val="24"/>
        </w:rPr>
        <w:t xml:space="preserve"> apod.). </w:t>
      </w:r>
    </w:p>
    <w:p w14:paraId="77AC392A" w14:textId="77777777" w:rsidR="00DC04EB" w:rsidRDefault="00DC04EB" w:rsidP="004750F5">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Data budou zpracována a publikována anonymně, údaje nebudou poskytnuty jiným osobám, nebo k jiným účelům než výzkumným nebo publikačním.</w:t>
      </w:r>
    </w:p>
    <w:p w14:paraId="251A04BC" w14:textId="0DF07309" w:rsidR="00DC04EB" w:rsidRDefault="00DC04EB" w:rsidP="004750F5">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Výsledky analýzy tělesného složení </w:t>
      </w:r>
      <w:r w:rsidR="00607B75" w:rsidRPr="009B6432">
        <w:rPr>
          <w:rFonts w:ascii="Times New Roman" w:hAnsi="Times New Roman" w:cs="Times New Roman"/>
          <w:sz w:val="24"/>
          <w:szCs w:val="24"/>
        </w:rPr>
        <w:t xml:space="preserve">svého dítěte </w:t>
      </w:r>
      <w:r w:rsidRPr="009B6432">
        <w:rPr>
          <w:rFonts w:ascii="Times New Roman" w:hAnsi="Times New Roman" w:cs="Times New Roman"/>
          <w:sz w:val="24"/>
          <w:szCs w:val="24"/>
        </w:rPr>
        <w:t xml:space="preserve">obdrží rodiče </w:t>
      </w:r>
      <w:r w:rsidR="00607B75" w:rsidRPr="009B6432">
        <w:rPr>
          <w:rFonts w:ascii="Times New Roman" w:hAnsi="Times New Roman" w:cs="Times New Roman"/>
          <w:sz w:val="24"/>
          <w:szCs w:val="24"/>
        </w:rPr>
        <w:t xml:space="preserve">individuálně </w:t>
      </w:r>
      <w:r>
        <w:rPr>
          <w:rFonts w:ascii="Times New Roman" w:hAnsi="Times New Roman" w:cs="Times New Roman"/>
          <w:sz w:val="24"/>
          <w:szCs w:val="24"/>
        </w:rPr>
        <w:t xml:space="preserve">od třídního učitele na třídních schůzkách. </w:t>
      </w:r>
    </w:p>
    <w:p w14:paraId="7234592A" w14:textId="77777777" w:rsidR="00DA48AF" w:rsidRDefault="00DA48AF" w:rsidP="00DC04EB">
      <w:pPr>
        <w:pStyle w:val="Bezmezer"/>
        <w:ind w:firstLine="284"/>
        <w:jc w:val="both"/>
        <w:rPr>
          <w:rFonts w:ascii="Times New Roman" w:hAnsi="Times New Roman" w:cs="Times New Roman"/>
          <w:sz w:val="24"/>
          <w:szCs w:val="24"/>
        </w:rPr>
      </w:pPr>
    </w:p>
    <w:p w14:paraId="5D4D9B4A" w14:textId="77777777" w:rsidR="00DC04EB" w:rsidRDefault="00DC04EB" w:rsidP="004750F5">
      <w:pPr>
        <w:pStyle w:val="Nadpis2"/>
        <w:spacing w:line="276" w:lineRule="auto"/>
        <w:ind w:firstLine="0"/>
        <w:rPr>
          <w:rFonts w:ascii="Times New Roman" w:hAnsi="Times New Roman" w:cs="Times New Roman"/>
          <w:b/>
          <w:i/>
          <w:color w:val="auto"/>
          <w:sz w:val="24"/>
          <w:szCs w:val="24"/>
        </w:rPr>
      </w:pPr>
      <w:bookmarkStart w:id="10" w:name="_Toc471898035"/>
      <w:bookmarkStart w:id="11" w:name="_Toc477332316"/>
      <w:r>
        <w:rPr>
          <w:rFonts w:ascii="Times New Roman" w:hAnsi="Times New Roman" w:cs="Times New Roman"/>
          <w:b/>
          <w:i/>
          <w:color w:val="auto"/>
          <w:sz w:val="24"/>
          <w:szCs w:val="24"/>
        </w:rPr>
        <w:t>Sběr dat</w:t>
      </w:r>
      <w:bookmarkEnd w:id="10"/>
      <w:bookmarkEnd w:id="11"/>
    </w:p>
    <w:p w14:paraId="054B499E" w14:textId="2DC15993" w:rsidR="00DC04EB" w:rsidRDefault="00DC04EB" w:rsidP="004750F5">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Sběr dat bude probíhat na základních školách ve vybraných ČR. Měření za standardních podmínek a při dodržení vysoké úrovně hygienických podmínek bude probíhat v dopoledních </w:t>
      </w:r>
      <w:r>
        <w:rPr>
          <w:rFonts w:ascii="Times New Roman" w:hAnsi="Times New Roman" w:cs="Times New Roman"/>
          <w:sz w:val="24"/>
          <w:szCs w:val="24"/>
        </w:rPr>
        <w:lastRenderedPageBreak/>
        <w:t xml:space="preserve">hodinách. Probandi budou měřeni ve spodním prádle, případně v lehkém cvičebním úboru, separátně. </w:t>
      </w:r>
    </w:p>
    <w:p w14:paraId="4554E351" w14:textId="00D20D21" w:rsidR="00DA01BB" w:rsidRPr="009A4A75" w:rsidRDefault="00DC04EB" w:rsidP="00DA01BB">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Analýza tělesného složení bude provedena na základě</w:t>
      </w:r>
      <w:r w:rsidR="00DA48AF">
        <w:rPr>
          <w:rFonts w:ascii="Times New Roman" w:hAnsi="Times New Roman" w:cs="Times New Roman"/>
          <w:sz w:val="24"/>
          <w:szCs w:val="24"/>
        </w:rPr>
        <w:t xml:space="preserve"> multifrekvenční </w:t>
      </w:r>
      <w:proofErr w:type="spellStart"/>
      <w:r w:rsidR="00DA48AF">
        <w:rPr>
          <w:rFonts w:ascii="Times New Roman" w:hAnsi="Times New Roman" w:cs="Times New Roman"/>
          <w:sz w:val="24"/>
          <w:szCs w:val="24"/>
        </w:rPr>
        <w:t>bioimpedanční</w:t>
      </w:r>
      <w:proofErr w:type="spellEnd"/>
      <w:r w:rsidR="00DA48AF">
        <w:rPr>
          <w:rFonts w:ascii="Times New Roman" w:hAnsi="Times New Roman" w:cs="Times New Roman"/>
          <w:sz w:val="24"/>
          <w:szCs w:val="24"/>
        </w:rPr>
        <w:t xml:space="preserve"> </w:t>
      </w:r>
      <w:r>
        <w:rPr>
          <w:rFonts w:ascii="Times New Roman" w:hAnsi="Times New Roman" w:cs="Times New Roman"/>
          <w:sz w:val="24"/>
          <w:szCs w:val="24"/>
        </w:rPr>
        <w:t xml:space="preserve">metody (MF-BIA) přístrojem </w:t>
      </w:r>
      <w:proofErr w:type="spellStart"/>
      <w:r>
        <w:rPr>
          <w:rFonts w:ascii="Times New Roman" w:hAnsi="Times New Roman" w:cs="Times New Roman"/>
          <w:sz w:val="24"/>
          <w:szCs w:val="24"/>
        </w:rPr>
        <w:t>InBody</w:t>
      </w:r>
      <w:proofErr w:type="spellEnd"/>
      <w:r>
        <w:rPr>
          <w:rFonts w:ascii="Times New Roman" w:hAnsi="Times New Roman" w:cs="Times New Roman"/>
          <w:sz w:val="24"/>
          <w:szCs w:val="24"/>
        </w:rPr>
        <w:t xml:space="preserve"> 720. </w:t>
      </w:r>
      <w:r w:rsidR="00DA01BB">
        <w:rPr>
          <w:rFonts w:ascii="Times New Roman" w:hAnsi="Times New Roman" w:cs="Times New Roman"/>
          <w:sz w:val="24"/>
          <w:szCs w:val="24"/>
        </w:rPr>
        <w:t xml:space="preserve">MF-BIA </w:t>
      </w:r>
      <w:r w:rsidR="00DA01BB" w:rsidRPr="009A4A75">
        <w:rPr>
          <w:rFonts w:ascii="Times New Roman" w:hAnsi="Times New Roman" w:cs="Times New Roman"/>
          <w:sz w:val="24"/>
          <w:szCs w:val="24"/>
        </w:rPr>
        <w:t xml:space="preserve">je považována za dostatečně validní a </w:t>
      </w:r>
      <w:proofErr w:type="spellStart"/>
      <w:r w:rsidR="00DA01BB" w:rsidRPr="009A4A75">
        <w:rPr>
          <w:rFonts w:ascii="Times New Roman" w:hAnsi="Times New Roman" w:cs="Times New Roman"/>
          <w:sz w:val="24"/>
          <w:szCs w:val="24"/>
        </w:rPr>
        <w:t>reliabilní</w:t>
      </w:r>
      <w:proofErr w:type="spellEnd"/>
      <w:r w:rsidR="00DA01BB" w:rsidRPr="009A4A75">
        <w:rPr>
          <w:rFonts w:ascii="Times New Roman" w:hAnsi="Times New Roman" w:cs="Times New Roman"/>
          <w:sz w:val="24"/>
          <w:szCs w:val="24"/>
        </w:rPr>
        <w:t xml:space="preserve"> metodu, která je schopna stanovit přesné zastoupení tělesných frakcí u dospělé i dětské populace (</w:t>
      </w:r>
      <w:proofErr w:type="spellStart"/>
      <w:r w:rsidR="00DA01BB" w:rsidRPr="009A4A75">
        <w:rPr>
          <w:rFonts w:ascii="Times New Roman" w:hAnsi="Times New Roman" w:cs="Times New Roman"/>
          <w:sz w:val="24"/>
          <w:szCs w:val="24"/>
        </w:rPr>
        <w:t>Fornetti</w:t>
      </w:r>
      <w:proofErr w:type="spellEnd"/>
      <w:r w:rsidR="00DA01BB" w:rsidRPr="009A4A75">
        <w:rPr>
          <w:rFonts w:ascii="Times New Roman" w:hAnsi="Times New Roman" w:cs="Times New Roman"/>
          <w:sz w:val="24"/>
          <w:szCs w:val="24"/>
        </w:rPr>
        <w:t xml:space="preserve">, </w:t>
      </w:r>
      <w:proofErr w:type="spellStart"/>
      <w:r w:rsidR="00DA01BB" w:rsidRPr="009A4A75">
        <w:rPr>
          <w:rFonts w:ascii="Times New Roman" w:hAnsi="Times New Roman" w:cs="Times New Roman"/>
          <w:sz w:val="24"/>
          <w:szCs w:val="24"/>
        </w:rPr>
        <w:t>Pivarnik</w:t>
      </w:r>
      <w:proofErr w:type="spellEnd"/>
      <w:r w:rsidR="00DA01BB" w:rsidRPr="009A4A75">
        <w:rPr>
          <w:rFonts w:ascii="Times New Roman" w:hAnsi="Times New Roman" w:cs="Times New Roman"/>
          <w:sz w:val="24"/>
          <w:szCs w:val="24"/>
        </w:rPr>
        <w:t xml:space="preserve">, </w:t>
      </w:r>
      <w:proofErr w:type="spellStart"/>
      <w:r w:rsidR="00DA01BB" w:rsidRPr="009A4A75">
        <w:rPr>
          <w:rFonts w:ascii="Times New Roman" w:hAnsi="Times New Roman" w:cs="Times New Roman"/>
          <w:sz w:val="24"/>
          <w:szCs w:val="24"/>
        </w:rPr>
        <w:t>Foley</w:t>
      </w:r>
      <w:proofErr w:type="spellEnd"/>
      <w:r w:rsidR="00DA01BB" w:rsidRPr="009A4A75">
        <w:rPr>
          <w:rFonts w:ascii="Times New Roman" w:hAnsi="Times New Roman" w:cs="Times New Roman"/>
          <w:sz w:val="24"/>
          <w:szCs w:val="24"/>
        </w:rPr>
        <w:t xml:space="preserve">, &amp; </w:t>
      </w:r>
      <w:proofErr w:type="spellStart"/>
      <w:r w:rsidR="00DA01BB" w:rsidRPr="009A4A75">
        <w:rPr>
          <w:rFonts w:ascii="Times New Roman" w:hAnsi="Times New Roman" w:cs="Times New Roman"/>
          <w:sz w:val="24"/>
          <w:szCs w:val="24"/>
        </w:rPr>
        <w:t>Fiechtner</w:t>
      </w:r>
      <w:proofErr w:type="spellEnd"/>
      <w:r w:rsidR="00DA01BB" w:rsidRPr="009A4A75">
        <w:rPr>
          <w:rFonts w:ascii="Times New Roman" w:hAnsi="Times New Roman" w:cs="Times New Roman"/>
          <w:sz w:val="24"/>
          <w:szCs w:val="24"/>
        </w:rPr>
        <w:t xml:space="preserve">, 1999; </w:t>
      </w:r>
      <w:proofErr w:type="spellStart"/>
      <w:r w:rsidR="00DA01BB" w:rsidRPr="009A4A75">
        <w:rPr>
          <w:rFonts w:ascii="Times New Roman" w:hAnsi="Times New Roman" w:cs="Times New Roman"/>
          <w:sz w:val="24"/>
          <w:szCs w:val="24"/>
        </w:rPr>
        <w:t>Gibson</w:t>
      </w:r>
      <w:proofErr w:type="spellEnd"/>
      <w:r w:rsidR="00DA01BB" w:rsidRPr="009A4A75">
        <w:rPr>
          <w:rFonts w:ascii="Times New Roman" w:hAnsi="Times New Roman" w:cs="Times New Roman"/>
          <w:sz w:val="24"/>
          <w:szCs w:val="24"/>
        </w:rPr>
        <w:t xml:space="preserve">, Holmes, </w:t>
      </w:r>
      <w:proofErr w:type="spellStart"/>
      <w:r w:rsidR="00DA01BB" w:rsidRPr="009A4A75">
        <w:rPr>
          <w:rFonts w:ascii="Times New Roman" w:hAnsi="Times New Roman" w:cs="Times New Roman"/>
          <w:sz w:val="24"/>
          <w:szCs w:val="24"/>
        </w:rPr>
        <w:t>Desautels</w:t>
      </w:r>
      <w:proofErr w:type="spellEnd"/>
      <w:r w:rsidR="00DA01BB" w:rsidRPr="009A4A75">
        <w:rPr>
          <w:rFonts w:ascii="Times New Roman" w:hAnsi="Times New Roman" w:cs="Times New Roman"/>
          <w:sz w:val="24"/>
          <w:szCs w:val="24"/>
        </w:rPr>
        <w:t xml:space="preserve">, </w:t>
      </w:r>
      <w:proofErr w:type="spellStart"/>
      <w:r w:rsidR="00DA01BB" w:rsidRPr="009A4A75">
        <w:rPr>
          <w:rFonts w:ascii="Times New Roman" w:hAnsi="Times New Roman" w:cs="Times New Roman"/>
          <w:sz w:val="24"/>
          <w:szCs w:val="24"/>
        </w:rPr>
        <w:t>Edmonds</w:t>
      </w:r>
      <w:proofErr w:type="spellEnd"/>
      <w:r w:rsidR="00DA01BB" w:rsidRPr="009A4A75">
        <w:rPr>
          <w:rFonts w:ascii="Times New Roman" w:hAnsi="Times New Roman" w:cs="Times New Roman"/>
          <w:sz w:val="24"/>
          <w:szCs w:val="24"/>
        </w:rPr>
        <w:t xml:space="preserve">, &amp; </w:t>
      </w:r>
      <w:proofErr w:type="spellStart"/>
      <w:r w:rsidR="00DA01BB" w:rsidRPr="009A4A75">
        <w:rPr>
          <w:rFonts w:ascii="Times New Roman" w:hAnsi="Times New Roman" w:cs="Times New Roman"/>
          <w:sz w:val="24"/>
          <w:szCs w:val="24"/>
        </w:rPr>
        <w:t>Nuudi</w:t>
      </w:r>
      <w:proofErr w:type="spellEnd"/>
      <w:r w:rsidR="00DA01BB" w:rsidRPr="009A4A75">
        <w:rPr>
          <w:rFonts w:ascii="Times New Roman" w:hAnsi="Times New Roman" w:cs="Times New Roman"/>
          <w:sz w:val="24"/>
          <w:szCs w:val="24"/>
        </w:rPr>
        <w:t xml:space="preserve">, 2008; Kyle, </w:t>
      </w:r>
      <w:proofErr w:type="spellStart"/>
      <w:r w:rsidR="00DA01BB" w:rsidRPr="009A4A75">
        <w:rPr>
          <w:rFonts w:ascii="Times New Roman" w:hAnsi="Times New Roman" w:cs="Times New Roman"/>
          <w:sz w:val="24"/>
          <w:szCs w:val="24"/>
        </w:rPr>
        <w:t>Bosaeus</w:t>
      </w:r>
      <w:proofErr w:type="spellEnd"/>
      <w:r w:rsidR="00DA01BB" w:rsidRPr="009A4A75">
        <w:rPr>
          <w:rFonts w:ascii="Times New Roman" w:hAnsi="Times New Roman" w:cs="Times New Roman"/>
          <w:sz w:val="24"/>
          <w:szCs w:val="24"/>
        </w:rPr>
        <w:t xml:space="preserve">, et al., 2004; Lim, et al., 2009; </w:t>
      </w:r>
      <w:proofErr w:type="spellStart"/>
      <w:r w:rsidR="00DA01BB" w:rsidRPr="009A4A75">
        <w:rPr>
          <w:rFonts w:ascii="Times New Roman" w:hAnsi="Times New Roman" w:cs="Times New Roman"/>
          <w:sz w:val="24"/>
          <w:szCs w:val="24"/>
        </w:rPr>
        <w:t>Malavolti</w:t>
      </w:r>
      <w:proofErr w:type="spellEnd"/>
      <w:r w:rsidR="00DA01BB" w:rsidRPr="009A4A75">
        <w:rPr>
          <w:rFonts w:ascii="Times New Roman" w:hAnsi="Times New Roman" w:cs="Times New Roman"/>
          <w:sz w:val="24"/>
          <w:szCs w:val="24"/>
        </w:rPr>
        <w:t xml:space="preserve">, et al., 2003). </w:t>
      </w:r>
    </w:p>
    <w:p w14:paraId="3453DCCF" w14:textId="77777777" w:rsidR="00DC04EB" w:rsidRDefault="00DC04EB" w:rsidP="004750F5">
      <w:pPr>
        <w:pStyle w:val="Bezmezer"/>
        <w:spacing w:line="276" w:lineRule="auto"/>
        <w:ind w:firstLine="284"/>
        <w:jc w:val="both"/>
        <w:rPr>
          <w:rFonts w:ascii="Times New Roman" w:hAnsi="Times New Roman" w:cs="Times New Roman"/>
          <w:sz w:val="24"/>
          <w:szCs w:val="24"/>
        </w:rPr>
      </w:pPr>
    </w:p>
    <w:p w14:paraId="1F425CFB" w14:textId="77777777" w:rsidR="00DC04EB" w:rsidRDefault="00DC04EB" w:rsidP="004750F5">
      <w:pPr>
        <w:pStyle w:val="Nadpis2"/>
        <w:spacing w:line="276" w:lineRule="auto"/>
        <w:ind w:firstLine="0"/>
        <w:rPr>
          <w:rFonts w:ascii="Times New Roman" w:hAnsi="Times New Roman" w:cs="Times New Roman"/>
          <w:b/>
          <w:i/>
          <w:color w:val="auto"/>
          <w:sz w:val="24"/>
          <w:szCs w:val="24"/>
        </w:rPr>
      </w:pPr>
      <w:bookmarkStart w:id="12" w:name="_Toc471898036"/>
      <w:bookmarkStart w:id="13" w:name="_Toc477332317"/>
      <w:r>
        <w:rPr>
          <w:rFonts w:ascii="Times New Roman" w:hAnsi="Times New Roman" w:cs="Times New Roman"/>
          <w:b/>
          <w:i/>
          <w:color w:val="auto"/>
          <w:sz w:val="24"/>
          <w:szCs w:val="24"/>
        </w:rPr>
        <w:t>Způsob zpracování dat</w:t>
      </w:r>
      <w:bookmarkEnd w:id="12"/>
      <w:bookmarkEnd w:id="13"/>
    </w:p>
    <w:p w14:paraId="4FF5D071" w14:textId="77777777" w:rsidR="00DC04EB" w:rsidRDefault="00DC04EB" w:rsidP="004750F5">
      <w:pPr>
        <w:pStyle w:val="Bezmeze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Data naměřená přístrojem </w:t>
      </w:r>
      <w:proofErr w:type="spellStart"/>
      <w:r>
        <w:rPr>
          <w:rFonts w:ascii="Times New Roman" w:hAnsi="Times New Roman" w:cs="Times New Roman"/>
          <w:sz w:val="24"/>
          <w:szCs w:val="24"/>
        </w:rPr>
        <w:t>InBody</w:t>
      </w:r>
      <w:proofErr w:type="spellEnd"/>
      <w:r>
        <w:rPr>
          <w:rFonts w:ascii="Times New Roman" w:hAnsi="Times New Roman" w:cs="Times New Roman"/>
          <w:sz w:val="24"/>
          <w:szCs w:val="24"/>
        </w:rPr>
        <w:t xml:space="preserve"> 720 budou zpracována pomocí programu </w:t>
      </w:r>
      <w:proofErr w:type="spellStart"/>
      <w:r>
        <w:rPr>
          <w:rFonts w:ascii="Times New Roman" w:hAnsi="Times New Roman" w:cs="Times New Roman"/>
          <w:sz w:val="24"/>
          <w:szCs w:val="24"/>
        </w:rPr>
        <w:t>Lookin</w:t>
      </w:r>
      <w:proofErr w:type="spellEnd"/>
      <w:r>
        <w:rPr>
          <w:rFonts w:ascii="Times New Roman" w:hAnsi="Times New Roman" w:cs="Times New Roman"/>
          <w:sz w:val="24"/>
          <w:szCs w:val="24"/>
        </w:rPr>
        <w:t xml:space="preserve"> Body 3.0. Dále bude využíván program Microsoft Office Word a Excel.</w:t>
      </w:r>
    </w:p>
    <w:p w14:paraId="00596B68" w14:textId="77777777" w:rsidR="00C56443" w:rsidRDefault="00C56443" w:rsidP="004750F5">
      <w:pPr>
        <w:pStyle w:val="Nadpis2"/>
        <w:spacing w:line="276" w:lineRule="auto"/>
        <w:ind w:firstLine="0"/>
        <w:rPr>
          <w:rFonts w:ascii="Times New Roman" w:hAnsi="Times New Roman" w:cs="Times New Roman"/>
          <w:b/>
          <w:i/>
          <w:color w:val="auto"/>
          <w:sz w:val="24"/>
          <w:szCs w:val="24"/>
        </w:rPr>
      </w:pPr>
      <w:bookmarkStart w:id="14" w:name="_Toc471898037"/>
      <w:bookmarkStart w:id="15" w:name="_Toc477332318"/>
    </w:p>
    <w:p w14:paraId="51C2A5B3" w14:textId="1A992627" w:rsidR="00DC04EB" w:rsidRDefault="00DC04EB" w:rsidP="004750F5">
      <w:pPr>
        <w:pStyle w:val="Nadpis2"/>
        <w:spacing w:line="276" w:lineRule="auto"/>
        <w:ind w:firstLine="0"/>
        <w:rPr>
          <w:rFonts w:ascii="Times New Roman" w:hAnsi="Times New Roman" w:cs="Times New Roman"/>
          <w:b/>
          <w:i/>
          <w:color w:val="auto"/>
          <w:sz w:val="24"/>
          <w:szCs w:val="24"/>
        </w:rPr>
      </w:pPr>
      <w:r>
        <w:rPr>
          <w:rFonts w:ascii="Times New Roman" w:hAnsi="Times New Roman" w:cs="Times New Roman"/>
          <w:b/>
          <w:i/>
          <w:color w:val="auto"/>
          <w:sz w:val="24"/>
          <w:szCs w:val="24"/>
        </w:rPr>
        <w:t>Statistické zpracování dat</w:t>
      </w:r>
      <w:bookmarkEnd w:id="14"/>
      <w:bookmarkEnd w:id="15"/>
    </w:p>
    <w:p w14:paraId="335BA86F" w14:textId="77777777" w:rsidR="00AD083F" w:rsidRPr="00DA48AF" w:rsidRDefault="00DC04EB" w:rsidP="004750F5">
      <w:pPr>
        <w:pStyle w:val="Bezmezer"/>
        <w:spacing w:line="276" w:lineRule="auto"/>
        <w:ind w:firstLine="284"/>
        <w:jc w:val="both"/>
        <w:rPr>
          <w:rFonts w:ascii="Times New Roman" w:hAnsi="Times New Roman" w:cs="Times New Roman"/>
          <w:sz w:val="24"/>
        </w:rPr>
      </w:pPr>
      <w:r w:rsidRPr="00DA48AF">
        <w:rPr>
          <w:rFonts w:ascii="Times New Roman" w:hAnsi="Times New Roman" w:cs="Times New Roman"/>
          <w:sz w:val="24"/>
        </w:rPr>
        <w:t xml:space="preserve">Pro statistické zpracování dat bude využit program SPSS. </w:t>
      </w:r>
      <w:r w:rsidR="00AD083F" w:rsidRPr="00DA48AF">
        <w:rPr>
          <w:rFonts w:ascii="Times New Roman" w:hAnsi="Times New Roman" w:cs="Times New Roman"/>
          <w:sz w:val="24"/>
        </w:rPr>
        <w:t>K tvorbě pohlavně specifických percentilových grafů bude využita LMS metoda. Jedná se o metodu kvantilové regrese založenou na Box-</w:t>
      </w:r>
      <w:proofErr w:type="spellStart"/>
      <w:r w:rsidR="00AD083F" w:rsidRPr="00DA48AF">
        <w:rPr>
          <w:rFonts w:ascii="Times New Roman" w:hAnsi="Times New Roman" w:cs="Times New Roman"/>
          <w:sz w:val="24"/>
        </w:rPr>
        <w:t>Coxově</w:t>
      </w:r>
      <w:proofErr w:type="spellEnd"/>
      <w:r w:rsidR="00AD083F" w:rsidRPr="00DA48AF">
        <w:rPr>
          <w:rFonts w:ascii="Times New Roman" w:hAnsi="Times New Roman" w:cs="Times New Roman"/>
          <w:sz w:val="24"/>
        </w:rPr>
        <w:t xml:space="preserve"> mocninné transformaci. Při sestrojování grafu za pomocí LMS metody nejprve dojde k normalizaci dat a potom k rozdělení náhodné veličiny, množství tělesného tuku či svalstva, na tři křivky: L, M a S. Křivka L znázorňuje transformační parametr Box-</w:t>
      </w:r>
      <w:proofErr w:type="spellStart"/>
      <w:r w:rsidR="00AD083F" w:rsidRPr="00DA48AF">
        <w:rPr>
          <w:rFonts w:ascii="Times New Roman" w:hAnsi="Times New Roman" w:cs="Times New Roman"/>
          <w:sz w:val="24"/>
        </w:rPr>
        <w:t>Coxovy</w:t>
      </w:r>
      <w:proofErr w:type="spellEnd"/>
      <w:r w:rsidR="00AD083F" w:rsidRPr="00DA48AF">
        <w:rPr>
          <w:rFonts w:ascii="Times New Roman" w:hAnsi="Times New Roman" w:cs="Times New Roman"/>
          <w:sz w:val="24"/>
        </w:rPr>
        <w:t xml:space="preserve"> mocninné transformace, křivka M střední hodnotu parametru náhodné veličiny, tedy medián, a křivka </w:t>
      </w:r>
      <w:proofErr w:type="gramStart"/>
      <w:r w:rsidR="00AD083F" w:rsidRPr="00DA48AF">
        <w:rPr>
          <w:rFonts w:ascii="Times New Roman" w:hAnsi="Times New Roman" w:cs="Times New Roman"/>
          <w:sz w:val="24"/>
        </w:rPr>
        <w:t>S</w:t>
      </w:r>
      <w:proofErr w:type="gramEnd"/>
      <w:r w:rsidR="00AD083F" w:rsidRPr="00DA48AF">
        <w:rPr>
          <w:rFonts w:ascii="Times New Roman" w:hAnsi="Times New Roman" w:cs="Times New Roman"/>
          <w:sz w:val="24"/>
        </w:rPr>
        <w:t xml:space="preserve"> zastupuje směrodatnou odchylku této náhodné veličiny. Výsledkem je referenční graf, který se skládá z hladkých křivek rozdělených podle percentilů nebo SD-skóre (</w:t>
      </w:r>
      <w:proofErr w:type="spellStart"/>
      <w:r w:rsidR="00AD083F" w:rsidRPr="00DA48AF">
        <w:rPr>
          <w:rFonts w:ascii="Times New Roman" w:hAnsi="Times New Roman" w:cs="Times New Roman"/>
          <w:sz w:val="24"/>
        </w:rPr>
        <w:t>Cole</w:t>
      </w:r>
      <w:proofErr w:type="spellEnd"/>
      <w:r w:rsidR="00AD083F" w:rsidRPr="00DA48AF">
        <w:rPr>
          <w:rFonts w:ascii="Times New Roman" w:hAnsi="Times New Roman" w:cs="Times New Roman"/>
          <w:sz w:val="24"/>
        </w:rPr>
        <w:t xml:space="preserve"> a Green 1992; </w:t>
      </w:r>
      <w:proofErr w:type="spellStart"/>
      <w:r w:rsidR="00AD083F" w:rsidRPr="00DA48AF">
        <w:rPr>
          <w:rFonts w:ascii="Times New Roman" w:hAnsi="Times New Roman" w:cs="Times New Roman"/>
          <w:sz w:val="24"/>
        </w:rPr>
        <w:t>Vignerová</w:t>
      </w:r>
      <w:proofErr w:type="spellEnd"/>
      <w:r w:rsidR="00AD083F" w:rsidRPr="00DA48AF">
        <w:rPr>
          <w:rFonts w:ascii="Times New Roman" w:hAnsi="Times New Roman" w:cs="Times New Roman"/>
          <w:sz w:val="24"/>
        </w:rPr>
        <w:t xml:space="preserve"> 2006). </w:t>
      </w:r>
    </w:p>
    <w:p w14:paraId="5E596D15" w14:textId="77777777" w:rsidR="00DC04EB" w:rsidRDefault="00DC04EB" w:rsidP="00DA48AF">
      <w:pPr>
        <w:pStyle w:val="Bezmezer"/>
        <w:spacing w:line="276" w:lineRule="auto"/>
        <w:jc w:val="both"/>
        <w:rPr>
          <w:rFonts w:ascii="Times New Roman" w:hAnsi="Times New Roman" w:cs="Times New Roman"/>
          <w:sz w:val="28"/>
          <w:szCs w:val="24"/>
        </w:rPr>
      </w:pPr>
    </w:p>
    <w:p w14:paraId="414EED87" w14:textId="77777777" w:rsidR="00DC04EB" w:rsidRPr="00D148A1" w:rsidRDefault="00DC04EB" w:rsidP="00D148A1">
      <w:pPr>
        <w:pStyle w:val="Nadpis2"/>
        <w:ind w:firstLine="0"/>
        <w:rPr>
          <w:rFonts w:ascii="Times New Roman" w:hAnsi="Times New Roman" w:cs="Times New Roman"/>
          <w:b/>
          <w:i/>
          <w:color w:val="auto"/>
          <w:sz w:val="24"/>
          <w:szCs w:val="24"/>
        </w:rPr>
      </w:pPr>
      <w:bookmarkStart w:id="16" w:name="_Toc477332319"/>
      <w:r w:rsidRPr="00D148A1">
        <w:rPr>
          <w:rFonts w:ascii="Times New Roman" w:hAnsi="Times New Roman" w:cs="Times New Roman"/>
          <w:b/>
          <w:i/>
          <w:color w:val="auto"/>
          <w:sz w:val="24"/>
          <w:szCs w:val="24"/>
        </w:rPr>
        <w:t>Časový harmonogram</w:t>
      </w:r>
      <w:bookmarkEnd w:id="16"/>
    </w:p>
    <w:tbl>
      <w:tblPr>
        <w:tblStyle w:val="Mkatabulky"/>
        <w:tblW w:w="0" w:type="auto"/>
        <w:tblInd w:w="0" w:type="dxa"/>
        <w:tblLook w:val="04A0" w:firstRow="1" w:lastRow="0" w:firstColumn="1" w:lastColumn="0" w:noHBand="0" w:noVBand="1"/>
      </w:tblPr>
      <w:tblGrid>
        <w:gridCol w:w="2938"/>
        <w:gridCol w:w="812"/>
        <w:gridCol w:w="780"/>
        <w:gridCol w:w="968"/>
        <w:gridCol w:w="593"/>
        <w:gridCol w:w="659"/>
        <w:gridCol w:w="961"/>
        <w:gridCol w:w="690"/>
        <w:gridCol w:w="661"/>
      </w:tblGrid>
      <w:tr w:rsidR="00DC04EB" w14:paraId="2ACDE0C7" w14:textId="77777777" w:rsidTr="00630FAB">
        <w:tc>
          <w:tcPr>
            <w:tcW w:w="2938" w:type="dxa"/>
            <w:tcBorders>
              <w:top w:val="single" w:sz="4" w:space="0" w:color="auto"/>
              <w:left w:val="single" w:sz="4" w:space="0" w:color="auto"/>
              <w:bottom w:val="single" w:sz="4" w:space="0" w:color="auto"/>
              <w:right w:val="single" w:sz="4" w:space="0" w:color="auto"/>
            </w:tcBorders>
            <w:vAlign w:val="bottom"/>
            <w:hideMark/>
          </w:tcPr>
          <w:p w14:paraId="0BFB21F9" w14:textId="77777777" w:rsidR="00DC04EB" w:rsidRPr="00630FAB" w:rsidRDefault="00DC04EB">
            <w:pPr>
              <w:suppressAutoHyphens/>
              <w:spacing w:line="360" w:lineRule="auto"/>
              <w:rPr>
                <w:rFonts w:ascii="Times New Roman" w:hAnsi="Times New Roman" w:cs="Times New Roman"/>
                <w:b/>
                <w:i/>
              </w:rPr>
            </w:pPr>
            <w:r w:rsidRPr="00630FAB">
              <w:rPr>
                <w:rFonts w:ascii="Times New Roman" w:hAnsi="Times New Roman" w:cs="Times New Roman"/>
                <w:b/>
                <w:i/>
              </w:rPr>
              <w:t>Rok</w:t>
            </w:r>
          </w:p>
        </w:tc>
        <w:tc>
          <w:tcPr>
            <w:tcW w:w="4773" w:type="dxa"/>
            <w:gridSpan w:val="6"/>
            <w:tcBorders>
              <w:top w:val="single" w:sz="4" w:space="0" w:color="auto"/>
              <w:left w:val="single" w:sz="4" w:space="0" w:color="auto"/>
              <w:bottom w:val="single" w:sz="4" w:space="0" w:color="auto"/>
              <w:right w:val="single" w:sz="4" w:space="0" w:color="auto"/>
            </w:tcBorders>
            <w:vAlign w:val="bottom"/>
            <w:hideMark/>
          </w:tcPr>
          <w:p w14:paraId="3C52FD56" w14:textId="77777777" w:rsidR="00DC04EB" w:rsidRPr="00630FAB" w:rsidRDefault="00DC04EB">
            <w:pPr>
              <w:suppressAutoHyphens/>
              <w:spacing w:line="360" w:lineRule="auto"/>
              <w:jc w:val="center"/>
              <w:rPr>
                <w:rFonts w:ascii="Times New Roman" w:hAnsi="Times New Roman" w:cs="Times New Roman"/>
                <w:b/>
                <w:i/>
              </w:rPr>
            </w:pPr>
            <w:r w:rsidRPr="00630FAB">
              <w:rPr>
                <w:rFonts w:ascii="Times New Roman" w:hAnsi="Times New Roman" w:cs="Times New Roman"/>
                <w:b/>
                <w:i/>
              </w:rPr>
              <w:t>2017</w:t>
            </w:r>
          </w:p>
        </w:tc>
        <w:tc>
          <w:tcPr>
            <w:tcW w:w="1351" w:type="dxa"/>
            <w:gridSpan w:val="2"/>
            <w:tcBorders>
              <w:top w:val="single" w:sz="4" w:space="0" w:color="auto"/>
              <w:left w:val="single" w:sz="4" w:space="0" w:color="auto"/>
              <w:bottom w:val="single" w:sz="4" w:space="0" w:color="auto"/>
              <w:right w:val="single" w:sz="4" w:space="0" w:color="auto"/>
            </w:tcBorders>
            <w:vAlign w:val="bottom"/>
            <w:hideMark/>
          </w:tcPr>
          <w:p w14:paraId="56CDA8B4" w14:textId="77777777" w:rsidR="00DC04EB" w:rsidRPr="00630FAB" w:rsidRDefault="00DC04EB">
            <w:pPr>
              <w:suppressAutoHyphens/>
              <w:spacing w:line="360" w:lineRule="auto"/>
              <w:jc w:val="center"/>
              <w:rPr>
                <w:rFonts w:ascii="Times New Roman" w:hAnsi="Times New Roman" w:cs="Times New Roman"/>
                <w:b/>
                <w:i/>
              </w:rPr>
            </w:pPr>
            <w:r w:rsidRPr="00630FAB">
              <w:rPr>
                <w:rFonts w:ascii="Times New Roman" w:hAnsi="Times New Roman" w:cs="Times New Roman"/>
                <w:b/>
                <w:i/>
              </w:rPr>
              <w:t>2018</w:t>
            </w:r>
          </w:p>
        </w:tc>
      </w:tr>
      <w:tr w:rsidR="00DC04EB" w14:paraId="7F0AF17D" w14:textId="77777777" w:rsidTr="005933E5">
        <w:trPr>
          <w:trHeight w:val="253"/>
        </w:trPr>
        <w:tc>
          <w:tcPr>
            <w:tcW w:w="2938" w:type="dxa"/>
            <w:tcBorders>
              <w:top w:val="single" w:sz="4" w:space="0" w:color="auto"/>
              <w:left w:val="single" w:sz="4" w:space="0" w:color="auto"/>
              <w:bottom w:val="single" w:sz="4" w:space="0" w:color="auto"/>
              <w:right w:val="single" w:sz="4" w:space="0" w:color="auto"/>
            </w:tcBorders>
            <w:vAlign w:val="bottom"/>
            <w:hideMark/>
          </w:tcPr>
          <w:p w14:paraId="3734EE89" w14:textId="77777777" w:rsidR="00DC04EB" w:rsidRPr="00630FAB" w:rsidRDefault="00DC04EB">
            <w:pPr>
              <w:suppressAutoHyphens/>
              <w:spacing w:line="360" w:lineRule="auto"/>
              <w:rPr>
                <w:rFonts w:ascii="Times New Roman" w:hAnsi="Times New Roman" w:cs="Times New Roman"/>
                <w:b/>
                <w:i/>
                <w:sz w:val="18"/>
              </w:rPr>
            </w:pPr>
            <w:r w:rsidRPr="00630FAB">
              <w:rPr>
                <w:rFonts w:ascii="Times New Roman" w:hAnsi="Times New Roman" w:cs="Times New Roman"/>
                <w:b/>
                <w:i/>
              </w:rPr>
              <w:t>Činnost</w:t>
            </w:r>
          </w:p>
        </w:tc>
        <w:tc>
          <w:tcPr>
            <w:tcW w:w="812" w:type="dxa"/>
            <w:tcBorders>
              <w:top w:val="single" w:sz="4" w:space="0" w:color="auto"/>
              <w:left w:val="single" w:sz="4" w:space="0" w:color="auto"/>
              <w:bottom w:val="single" w:sz="4" w:space="0" w:color="auto"/>
              <w:right w:val="single" w:sz="4" w:space="0" w:color="auto"/>
            </w:tcBorders>
            <w:vAlign w:val="bottom"/>
            <w:hideMark/>
          </w:tcPr>
          <w:p w14:paraId="04AFD91C" w14:textId="77777777" w:rsidR="00DC04EB" w:rsidRPr="00DA48AF" w:rsidRDefault="00DC04EB">
            <w:pPr>
              <w:suppressAutoHyphens/>
              <w:spacing w:line="360" w:lineRule="auto"/>
              <w:rPr>
                <w:rFonts w:cstheme="minorHAnsi"/>
                <w:b/>
                <w:i/>
                <w:sz w:val="18"/>
              </w:rPr>
            </w:pPr>
            <w:r w:rsidRPr="00DA48AF">
              <w:rPr>
                <w:rFonts w:cstheme="minorHAnsi"/>
                <w:b/>
                <w:i/>
                <w:sz w:val="18"/>
              </w:rPr>
              <w:t>III., IV.</w:t>
            </w:r>
          </w:p>
        </w:tc>
        <w:tc>
          <w:tcPr>
            <w:tcW w:w="780" w:type="dxa"/>
            <w:tcBorders>
              <w:top w:val="single" w:sz="4" w:space="0" w:color="auto"/>
              <w:left w:val="single" w:sz="4" w:space="0" w:color="auto"/>
              <w:bottom w:val="single" w:sz="4" w:space="0" w:color="auto"/>
              <w:right w:val="single" w:sz="4" w:space="0" w:color="auto"/>
            </w:tcBorders>
            <w:vAlign w:val="bottom"/>
            <w:hideMark/>
          </w:tcPr>
          <w:p w14:paraId="6928CAC1" w14:textId="77777777" w:rsidR="00DC04EB" w:rsidRPr="00DA48AF" w:rsidRDefault="00DC04EB">
            <w:pPr>
              <w:suppressAutoHyphens/>
              <w:spacing w:line="360" w:lineRule="auto"/>
              <w:rPr>
                <w:rFonts w:cstheme="minorHAnsi"/>
                <w:b/>
                <w:i/>
                <w:sz w:val="18"/>
              </w:rPr>
            </w:pPr>
            <w:r w:rsidRPr="00DA48AF">
              <w:rPr>
                <w:rFonts w:cstheme="minorHAnsi"/>
                <w:b/>
                <w:i/>
                <w:sz w:val="18"/>
              </w:rPr>
              <w:t>V., VI.</w:t>
            </w:r>
          </w:p>
        </w:tc>
        <w:tc>
          <w:tcPr>
            <w:tcW w:w="968" w:type="dxa"/>
            <w:tcBorders>
              <w:top w:val="single" w:sz="4" w:space="0" w:color="auto"/>
              <w:left w:val="single" w:sz="4" w:space="0" w:color="auto"/>
              <w:bottom w:val="single" w:sz="4" w:space="0" w:color="auto"/>
              <w:right w:val="single" w:sz="4" w:space="0" w:color="auto"/>
            </w:tcBorders>
            <w:vAlign w:val="bottom"/>
            <w:hideMark/>
          </w:tcPr>
          <w:p w14:paraId="5CF7482C" w14:textId="77777777" w:rsidR="00DC04EB" w:rsidRPr="00DA48AF" w:rsidRDefault="00DC04EB">
            <w:pPr>
              <w:suppressAutoHyphens/>
              <w:spacing w:line="360" w:lineRule="auto"/>
              <w:rPr>
                <w:rFonts w:cstheme="minorHAnsi"/>
                <w:b/>
                <w:i/>
                <w:sz w:val="18"/>
              </w:rPr>
            </w:pPr>
            <w:r w:rsidRPr="00DA48AF">
              <w:rPr>
                <w:rFonts w:cstheme="minorHAnsi"/>
                <w:b/>
                <w:i/>
                <w:sz w:val="18"/>
              </w:rPr>
              <w:t>VII., VIII.</w:t>
            </w:r>
          </w:p>
        </w:tc>
        <w:tc>
          <w:tcPr>
            <w:tcW w:w="593" w:type="dxa"/>
            <w:tcBorders>
              <w:top w:val="single" w:sz="4" w:space="0" w:color="auto"/>
              <w:left w:val="single" w:sz="4" w:space="0" w:color="auto"/>
              <w:bottom w:val="single" w:sz="4" w:space="0" w:color="auto"/>
              <w:right w:val="single" w:sz="4" w:space="0" w:color="auto"/>
            </w:tcBorders>
            <w:vAlign w:val="bottom"/>
            <w:hideMark/>
          </w:tcPr>
          <w:p w14:paraId="159895B5" w14:textId="77777777" w:rsidR="00DC04EB" w:rsidRPr="00DA48AF" w:rsidRDefault="00DC04EB">
            <w:pPr>
              <w:suppressAutoHyphens/>
              <w:spacing w:line="360" w:lineRule="auto"/>
              <w:rPr>
                <w:rFonts w:cstheme="minorHAnsi"/>
                <w:b/>
                <w:i/>
                <w:sz w:val="18"/>
              </w:rPr>
            </w:pPr>
            <w:r w:rsidRPr="00DA48AF">
              <w:rPr>
                <w:rFonts w:cstheme="minorHAnsi"/>
                <w:b/>
                <w:i/>
                <w:sz w:val="18"/>
              </w:rPr>
              <w:t>IX.</w:t>
            </w:r>
          </w:p>
        </w:tc>
        <w:tc>
          <w:tcPr>
            <w:tcW w:w="659" w:type="dxa"/>
            <w:tcBorders>
              <w:top w:val="single" w:sz="4" w:space="0" w:color="auto"/>
              <w:left w:val="single" w:sz="4" w:space="0" w:color="auto"/>
              <w:bottom w:val="single" w:sz="4" w:space="0" w:color="auto"/>
              <w:right w:val="single" w:sz="4" w:space="0" w:color="auto"/>
            </w:tcBorders>
            <w:vAlign w:val="bottom"/>
            <w:hideMark/>
          </w:tcPr>
          <w:p w14:paraId="19B3EC71" w14:textId="77777777" w:rsidR="00DC04EB" w:rsidRPr="00DA48AF" w:rsidRDefault="0012533D" w:rsidP="005933E5">
            <w:pPr>
              <w:suppressAutoHyphens/>
              <w:spacing w:line="360" w:lineRule="auto"/>
              <w:jc w:val="center"/>
              <w:rPr>
                <w:rFonts w:cstheme="minorHAnsi"/>
                <w:b/>
                <w:i/>
                <w:sz w:val="18"/>
              </w:rPr>
            </w:pPr>
            <w:r w:rsidRPr="00DA48AF">
              <w:rPr>
                <w:rFonts w:cstheme="minorHAnsi"/>
                <w:b/>
                <w:i/>
                <w:sz w:val="18"/>
              </w:rPr>
              <w:t>X.</w:t>
            </w:r>
          </w:p>
        </w:tc>
        <w:tc>
          <w:tcPr>
            <w:tcW w:w="961" w:type="dxa"/>
            <w:tcBorders>
              <w:top w:val="single" w:sz="4" w:space="0" w:color="auto"/>
              <w:left w:val="single" w:sz="4" w:space="0" w:color="auto"/>
              <w:bottom w:val="single" w:sz="4" w:space="0" w:color="auto"/>
              <w:right w:val="single" w:sz="4" w:space="0" w:color="auto"/>
            </w:tcBorders>
            <w:vAlign w:val="bottom"/>
            <w:hideMark/>
          </w:tcPr>
          <w:p w14:paraId="26825A8F" w14:textId="77777777" w:rsidR="00DC04EB" w:rsidRPr="00DA48AF" w:rsidRDefault="00DC04EB">
            <w:pPr>
              <w:suppressAutoHyphens/>
              <w:spacing w:line="360" w:lineRule="auto"/>
              <w:rPr>
                <w:rFonts w:cstheme="minorHAnsi"/>
                <w:b/>
                <w:i/>
                <w:sz w:val="18"/>
              </w:rPr>
            </w:pPr>
            <w:r w:rsidRPr="00DA48AF">
              <w:rPr>
                <w:rFonts w:cstheme="minorHAnsi"/>
                <w:b/>
                <w:i/>
                <w:sz w:val="18"/>
              </w:rPr>
              <w:t>XI., XII.</w:t>
            </w:r>
          </w:p>
        </w:tc>
        <w:tc>
          <w:tcPr>
            <w:tcW w:w="690" w:type="dxa"/>
            <w:tcBorders>
              <w:top w:val="single" w:sz="4" w:space="0" w:color="auto"/>
              <w:left w:val="single" w:sz="4" w:space="0" w:color="auto"/>
              <w:bottom w:val="single" w:sz="4" w:space="0" w:color="auto"/>
              <w:right w:val="single" w:sz="4" w:space="0" w:color="auto"/>
            </w:tcBorders>
            <w:vAlign w:val="bottom"/>
            <w:hideMark/>
          </w:tcPr>
          <w:p w14:paraId="71D8D991" w14:textId="77777777" w:rsidR="00DC04EB" w:rsidRPr="00DA48AF" w:rsidRDefault="00DC04EB">
            <w:pPr>
              <w:suppressAutoHyphens/>
              <w:spacing w:line="360" w:lineRule="auto"/>
              <w:rPr>
                <w:rFonts w:cstheme="minorHAnsi"/>
                <w:b/>
                <w:i/>
                <w:sz w:val="18"/>
              </w:rPr>
            </w:pPr>
            <w:r w:rsidRPr="00DA48AF">
              <w:rPr>
                <w:rFonts w:cstheme="minorHAnsi"/>
                <w:b/>
                <w:i/>
                <w:sz w:val="18"/>
              </w:rPr>
              <w:t>I., II.</w:t>
            </w:r>
          </w:p>
        </w:tc>
        <w:tc>
          <w:tcPr>
            <w:tcW w:w="661" w:type="dxa"/>
            <w:tcBorders>
              <w:top w:val="single" w:sz="4" w:space="0" w:color="auto"/>
              <w:left w:val="single" w:sz="4" w:space="0" w:color="auto"/>
              <w:bottom w:val="single" w:sz="4" w:space="0" w:color="auto"/>
              <w:right w:val="single" w:sz="4" w:space="0" w:color="auto"/>
            </w:tcBorders>
            <w:vAlign w:val="bottom"/>
            <w:hideMark/>
          </w:tcPr>
          <w:p w14:paraId="271F83AB" w14:textId="3B4C87D0" w:rsidR="00DC04EB" w:rsidRPr="00DA48AF" w:rsidRDefault="00DC04EB" w:rsidP="005933E5">
            <w:pPr>
              <w:suppressAutoHyphens/>
              <w:spacing w:line="360" w:lineRule="auto"/>
              <w:jc w:val="center"/>
              <w:rPr>
                <w:rFonts w:cstheme="minorHAnsi"/>
                <w:b/>
                <w:i/>
                <w:sz w:val="18"/>
              </w:rPr>
            </w:pPr>
            <w:r w:rsidRPr="00DA48AF">
              <w:rPr>
                <w:rFonts w:cstheme="minorHAnsi"/>
                <w:b/>
                <w:i/>
                <w:sz w:val="18"/>
              </w:rPr>
              <w:t>III.</w:t>
            </w:r>
          </w:p>
        </w:tc>
      </w:tr>
      <w:tr w:rsidR="00DC04EB" w14:paraId="45D5669F" w14:textId="77777777" w:rsidTr="00630FAB">
        <w:trPr>
          <w:trHeight w:val="457"/>
        </w:trPr>
        <w:tc>
          <w:tcPr>
            <w:tcW w:w="2938" w:type="dxa"/>
            <w:tcBorders>
              <w:top w:val="single" w:sz="4" w:space="0" w:color="auto"/>
              <w:left w:val="single" w:sz="4" w:space="0" w:color="auto"/>
              <w:bottom w:val="single" w:sz="4" w:space="0" w:color="auto"/>
              <w:right w:val="single" w:sz="4" w:space="0" w:color="auto"/>
            </w:tcBorders>
            <w:vAlign w:val="center"/>
            <w:hideMark/>
          </w:tcPr>
          <w:p w14:paraId="61DF355B" w14:textId="77777777" w:rsidR="00DC04EB" w:rsidRPr="00630FAB" w:rsidRDefault="00DC04EB">
            <w:pPr>
              <w:suppressAutoHyphens/>
              <w:rPr>
                <w:rFonts w:ascii="Times New Roman" w:hAnsi="Times New Roman" w:cs="Times New Roman"/>
              </w:rPr>
            </w:pPr>
            <w:r w:rsidRPr="00630FAB">
              <w:rPr>
                <w:rFonts w:ascii="Times New Roman" w:hAnsi="Times New Roman" w:cs="Times New Roman"/>
              </w:rPr>
              <w:t>Výběr škol a jejich oslovení</w:t>
            </w:r>
          </w:p>
        </w:tc>
        <w:tc>
          <w:tcPr>
            <w:tcW w:w="812" w:type="dxa"/>
            <w:tcBorders>
              <w:top w:val="single" w:sz="4" w:space="0" w:color="auto"/>
              <w:left w:val="single" w:sz="4" w:space="0" w:color="auto"/>
              <w:bottom w:val="single" w:sz="4" w:space="0" w:color="auto"/>
              <w:right w:val="single" w:sz="4" w:space="0" w:color="auto"/>
            </w:tcBorders>
            <w:shd w:val="clear" w:color="auto" w:fill="FFC000"/>
            <w:hideMark/>
          </w:tcPr>
          <w:p w14:paraId="4B0EC218" w14:textId="77777777" w:rsidR="00DC04EB" w:rsidRPr="00DA48AF" w:rsidRDefault="00DC04EB">
            <w:pPr>
              <w:tabs>
                <w:tab w:val="left" w:pos="435"/>
              </w:tabs>
              <w:suppressAutoHyphens/>
              <w:spacing w:line="360" w:lineRule="auto"/>
              <w:rPr>
                <w:rFonts w:cstheme="minorHAnsi"/>
                <w:b/>
                <w:i/>
                <w:sz w:val="18"/>
              </w:rPr>
            </w:pPr>
            <w:r w:rsidRPr="00DA48AF">
              <w:rPr>
                <w:rFonts w:cstheme="minorHAnsi"/>
                <w:b/>
                <w:i/>
                <w:sz w:val="18"/>
              </w:rPr>
              <w:tab/>
            </w:r>
          </w:p>
        </w:tc>
        <w:tc>
          <w:tcPr>
            <w:tcW w:w="780" w:type="dxa"/>
            <w:tcBorders>
              <w:top w:val="single" w:sz="4" w:space="0" w:color="auto"/>
              <w:left w:val="single" w:sz="4" w:space="0" w:color="auto"/>
              <w:bottom w:val="single" w:sz="4" w:space="0" w:color="auto"/>
              <w:right w:val="single" w:sz="4" w:space="0" w:color="auto"/>
            </w:tcBorders>
            <w:hideMark/>
          </w:tcPr>
          <w:p w14:paraId="1038EAFD" w14:textId="77777777" w:rsidR="00DC04EB" w:rsidRPr="00DA48AF" w:rsidRDefault="00DC04EB">
            <w:pPr>
              <w:tabs>
                <w:tab w:val="left" w:pos="435"/>
              </w:tabs>
              <w:suppressAutoHyphens/>
              <w:spacing w:line="360" w:lineRule="auto"/>
              <w:rPr>
                <w:rFonts w:cstheme="minorHAnsi"/>
                <w:b/>
                <w:i/>
                <w:sz w:val="18"/>
              </w:rPr>
            </w:pPr>
            <w:r w:rsidRPr="00DA48AF">
              <w:rPr>
                <w:rFonts w:cstheme="minorHAnsi"/>
                <w:b/>
                <w:i/>
                <w:sz w:val="18"/>
              </w:rPr>
              <w:tab/>
            </w:r>
          </w:p>
        </w:tc>
        <w:tc>
          <w:tcPr>
            <w:tcW w:w="968" w:type="dxa"/>
            <w:tcBorders>
              <w:top w:val="single" w:sz="4" w:space="0" w:color="auto"/>
              <w:left w:val="single" w:sz="4" w:space="0" w:color="auto"/>
              <w:bottom w:val="single" w:sz="4" w:space="0" w:color="auto"/>
              <w:right w:val="single" w:sz="4" w:space="0" w:color="auto"/>
            </w:tcBorders>
          </w:tcPr>
          <w:p w14:paraId="729B9E56" w14:textId="77777777" w:rsidR="00DC04EB" w:rsidRPr="00DA48AF" w:rsidRDefault="00DC04EB">
            <w:pPr>
              <w:suppressAutoHyphens/>
              <w:spacing w:line="360" w:lineRule="auto"/>
              <w:rPr>
                <w:rFonts w:cstheme="minorHAnsi"/>
                <w:b/>
                <w:i/>
                <w:sz w:val="18"/>
              </w:rPr>
            </w:pPr>
          </w:p>
        </w:tc>
        <w:tc>
          <w:tcPr>
            <w:tcW w:w="593" w:type="dxa"/>
            <w:tcBorders>
              <w:top w:val="single" w:sz="4" w:space="0" w:color="auto"/>
              <w:left w:val="single" w:sz="4" w:space="0" w:color="auto"/>
              <w:bottom w:val="single" w:sz="4" w:space="0" w:color="auto"/>
              <w:right w:val="single" w:sz="4" w:space="0" w:color="auto"/>
            </w:tcBorders>
          </w:tcPr>
          <w:p w14:paraId="57162C72" w14:textId="77777777" w:rsidR="00DC04EB" w:rsidRPr="00DA48AF" w:rsidRDefault="00DC04EB">
            <w:pPr>
              <w:suppressAutoHyphens/>
              <w:spacing w:line="360" w:lineRule="auto"/>
              <w:rPr>
                <w:rFonts w:cstheme="minorHAnsi"/>
                <w:b/>
                <w:i/>
                <w:sz w:val="18"/>
              </w:rPr>
            </w:pPr>
          </w:p>
        </w:tc>
        <w:tc>
          <w:tcPr>
            <w:tcW w:w="659" w:type="dxa"/>
            <w:tcBorders>
              <w:top w:val="single" w:sz="4" w:space="0" w:color="auto"/>
              <w:left w:val="single" w:sz="4" w:space="0" w:color="auto"/>
              <w:bottom w:val="single" w:sz="4" w:space="0" w:color="auto"/>
              <w:right w:val="single" w:sz="4" w:space="0" w:color="auto"/>
            </w:tcBorders>
          </w:tcPr>
          <w:p w14:paraId="08B3FE24" w14:textId="77777777" w:rsidR="00DC04EB" w:rsidRPr="00DA48AF" w:rsidRDefault="00DC04EB">
            <w:pPr>
              <w:suppressAutoHyphens/>
              <w:spacing w:line="360" w:lineRule="auto"/>
              <w:rPr>
                <w:rFonts w:cstheme="minorHAnsi"/>
                <w:b/>
                <w:i/>
                <w:sz w:val="18"/>
              </w:rPr>
            </w:pPr>
          </w:p>
        </w:tc>
        <w:tc>
          <w:tcPr>
            <w:tcW w:w="961" w:type="dxa"/>
            <w:tcBorders>
              <w:top w:val="single" w:sz="4" w:space="0" w:color="auto"/>
              <w:left w:val="single" w:sz="4" w:space="0" w:color="auto"/>
              <w:bottom w:val="single" w:sz="4" w:space="0" w:color="auto"/>
              <w:right w:val="single" w:sz="4" w:space="0" w:color="auto"/>
            </w:tcBorders>
          </w:tcPr>
          <w:p w14:paraId="7C294DB1" w14:textId="77777777" w:rsidR="00DC04EB" w:rsidRPr="00DA48AF" w:rsidRDefault="00DC04EB">
            <w:pPr>
              <w:suppressAutoHyphens/>
              <w:spacing w:line="360" w:lineRule="auto"/>
              <w:rPr>
                <w:rFonts w:cstheme="minorHAnsi"/>
                <w:b/>
                <w:i/>
                <w:sz w:val="18"/>
              </w:rPr>
            </w:pPr>
          </w:p>
        </w:tc>
        <w:tc>
          <w:tcPr>
            <w:tcW w:w="690" w:type="dxa"/>
            <w:tcBorders>
              <w:top w:val="single" w:sz="4" w:space="0" w:color="auto"/>
              <w:left w:val="single" w:sz="4" w:space="0" w:color="auto"/>
              <w:bottom w:val="single" w:sz="4" w:space="0" w:color="auto"/>
              <w:right w:val="single" w:sz="4" w:space="0" w:color="auto"/>
            </w:tcBorders>
          </w:tcPr>
          <w:p w14:paraId="57967C5B" w14:textId="77777777" w:rsidR="00DC04EB" w:rsidRPr="00DA48AF" w:rsidRDefault="00DC04EB">
            <w:pPr>
              <w:suppressAutoHyphens/>
              <w:spacing w:line="360" w:lineRule="auto"/>
              <w:rPr>
                <w:rFonts w:cstheme="minorHAnsi"/>
                <w:b/>
                <w:i/>
                <w:sz w:val="18"/>
              </w:rPr>
            </w:pPr>
          </w:p>
        </w:tc>
        <w:tc>
          <w:tcPr>
            <w:tcW w:w="661" w:type="dxa"/>
            <w:tcBorders>
              <w:top w:val="single" w:sz="4" w:space="0" w:color="auto"/>
              <w:left w:val="single" w:sz="4" w:space="0" w:color="auto"/>
              <w:bottom w:val="single" w:sz="4" w:space="0" w:color="auto"/>
              <w:right w:val="single" w:sz="4" w:space="0" w:color="auto"/>
            </w:tcBorders>
          </w:tcPr>
          <w:p w14:paraId="432D8F0B" w14:textId="77777777" w:rsidR="00DC04EB" w:rsidRPr="00DA48AF" w:rsidRDefault="00DC04EB">
            <w:pPr>
              <w:suppressAutoHyphens/>
              <w:spacing w:line="360" w:lineRule="auto"/>
              <w:rPr>
                <w:rFonts w:cstheme="minorHAnsi"/>
                <w:b/>
                <w:i/>
                <w:sz w:val="18"/>
              </w:rPr>
            </w:pPr>
          </w:p>
        </w:tc>
      </w:tr>
      <w:tr w:rsidR="00DC04EB" w14:paraId="508EDA9C" w14:textId="77777777" w:rsidTr="00630FAB">
        <w:tc>
          <w:tcPr>
            <w:tcW w:w="2938" w:type="dxa"/>
            <w:tcBorders>
              <w:top w:val="single" w:sz="4" w:space="0" w:color="auto"/>
              <w:left w:val="single" w:sz="4" w:space="0" w:color="auto"/>
              <w:bottom w:val="single" w:sz="4" w:space="0" w:color="auto"/>
              <w:right w:val="single" w:sz="4" w:space="0" w:color="auto"/>
            </w:tcBorders>
            <w:hideMark/>
          </w:tcPr>
          <w:p w14:paraId="26CEC27F" w14:textId="77777777" w:rsidR="00DC04EB" w:rsidRPr="00630FAB" w:rsidRDefault="00DC04EB">
            <w:pPr>
              <w:suppressAutoHyphens/>
              <w:rPr>
                <w:rFonts w:ascii="Times New Roman" w:hAnsi="Times New Roman" w:cs="Times New Roman"/>
                <w:b/>
                <w:i/>
              </w:rPr>
            </w:pPr>
            <w:r w:rsidRPr="00630FAB">
              <w:rPr>
                <w:rFonts w:ascii="Times New Roman" w:hAnsi="Times New Roman" w:cs="Times New Roman"/>
              </w:rPr>
              <w:t>Měření na vybraných základních školách</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50848B8" w14:textId="77777777" w:rsidR="00DC04EB" w:rsidRPr="00DA48AF" w:rsidRDefault="00DC04EB">
            <w:pPr>
              <w:suppressAutoHyphens/>
              <w:spacing w:line="360" w:lineRule="auto"/>
              <w:rPr>
                <w:rFonts w:cstheme="minorHAnsi"/>
                <w:b/>
                <w:i/>
                <w:sz w:val="18"/>
              </w:rPr>
            </w:pPr>
          </w:p>
        </w:tc>
        <w:tc>
          <w:tcPr>
            <w:tcW w:w="780" w:type="dxa"/>
            <w:tcBorders>
              <w:top w:val="single" w:sz="4" w:space="0" w:color="auto"/>
              <w:left w:val="single" w:sz="4" w:space="0" w:color="auto"/>
              <w:bottom w:val="single" w:sz="4" w:space="0" w:color="auto"/>
              <w:right w:val="single" w:sz="4" w:space="0" w:color="auto"/>
            </w:tcBorders>
            <w:shd w:val="clear" w:color="auto" w:fill="FFFF00"/>
          </w:tcPr>
          <w:p w14:paraId="09DA98BC" w14:textId="77777777" w:rsidR="00DC04EB" w:rsidRPr="00DA48AF" w:rsidRDefault="00DC04EB">
            <w:pPr>
              <w:suppressAutoHyphens/>
              <w:spacing w:line="360" w:lineRule="auto"/>
              <w:rPr>
                <w:rFonts w:cstheme="minorHAnsi"/>
                <w:b/>
                <w:i/>
                <w:sz w:val="18"/>
              </w:rPr>
            </w:pPr>
          </w:p>
        </w:tc>
        <w:tc>
          <w:tcPr>
            <w:tcW w:w="968" w:type="dxa"/>
            <w:tcBorders>
              <w:top w:val="single" w:sz="4" w:space="0" w:color="auto"/>
              <w:left w:val="single" w:sz="4" w:space="0" w:color="auto"/>
              <w:bottom w:val="single" w:sz="4" w:space="0" w:color="auto"/>
              <w:right w:val="single" w:sz="4" w:space="0" w:color="auto"/>
            </w:tcBorders>
          </w:tcPr>
          <w:p w14:paraId="22220844" w14:textId="77777777" w:rsidR="00DC04EB" w:rsidRPr="00DA48AF" w:rsidRDefault="00DC04EB">
            <w:pPr>
              <w:suppressAutoHyphens/>
              <w:spacing w:line="360" w:lineRule="auto"/>
              <w:rPr>
                <w:rFonts w:cstheme="minorHAnsi"/>
                <w:b/>
                <w:i/>
                <w:sz w:val="18"/>
              </w:rPr>
            </w:pPr>
          </w:p>
        </w:tc>
        <w:tc>
          <w:tcPr>
            <w:tcW w:w="593" w:type="dxa"/>
            <w:tcBorders>
              <w:top w:val="single" w:sz="4" w:space="0" w:color="auto"/>
              <w:left w:val="single" w:sz="4" w:space="0" w:color="auto"/>
              <w:bottom w:val="single" w:sz="4" w:space="0" w:color="auto"/>
              <w:right w:val="single" w:sz="4" w:space="0" w:color="auto"/>
            </w:tcBorders>
            <w:shd w:val="clear" w:color="auto" w:fill="FFFF00"/>
          </w:tcPr>
          <w:p w14:paraId="0EA3D360" w14:textId="77777777" w:rsidR="00DC04EB" w:rsidRPr="00DA48AF" w:rsidRDefault="00DC04EB">
            <w:pPr>
              <w:suppressAutoHyphens/>
              <w:spacing w:line="360" w:lineRule="auto"/>
              <w:rPr>
                <w:rFonts w:cstheme="minorHAnsi"/>
                <w:b/>
                <w:i/>
                <w:sz w:val="18"/>
              </w:rPr>
            </w:pPr>
          </w:p>
        </w:tc>
        <w:tc>
          <w:tcPr>
            <w:tcW w:w="659" w:type="dxa"/>
            <w:tcBorders>
              <w:top w:val="single" w:sz="4" w:space="0" w:color="auto"/>
              <w:left w:val="single" w:sz="4" w:space="0" w:color="auto"/>
              <w:bottom w:val="single" w:sz="4" w:space="0" w:color="auto"/>
              <w:right w:val="single" w:sz="4" w:space="0" w:color="auto"/>
            </w:tcBorders>
          </w:tcPr>
          <w:p w14:paraId="3DF0C5F8" w14:textId="77777777" w:rsidR="00DC04EB" w:rsidRPr="00DA48AF" w:rsidRDefault="00DC04EB">
            <w:pPr>
              <w:suppressAutoHyphens/>
              <w:spacing w:line="360" w:lineRule="auto"/>
              <w:rPr>
                <w:rFonts w:cstheme="minorHAnsi"/>
                <w:b/>
                <w:i/>
                <w:sz w:val="18"/>
              </w:rPr>
            </w:pPr>
          </w:p>
        </w:tc>
        <w:tc>
          <w:tcPr>
            <w:tcW w:w="961" w:type="dxa"/>
            <w:tcBorders>
              <w:top w:val="single" w:sz="4" w:space="0" w:color="auto"/>
              <w:left w:val="single" w:sz="4" w:space="0" w:color="auto"/>
              <w:bottom w:val="single" w:sz="4" w:space="0" w:color="auto"/>
              <w:right w:val="single" w:sz="4" w:space="0" w:color="auto"/>
            </w:tcBorders>
          </w:tcPr>
          <w:p w14:paraId="58E7887E" w14:textId="77777777" w:rsidR="00DC04EB" w:rsidRPr="00DA48AF" w:rsidRDefault="00DC04EB">
            <w:pPr>
              <w:suppressAutoHyphens/>
              <w:spacing w:line="360" w:lineRule="auto"/>
              <w:rPr>
                <w:rFonts w:cstheme="minorHAnsi"/>
                <w:b/>
                <w:i/>
                <w:sz w:val="18"/>
              </w:rPr>
            </w:pPr>
          </w:p>
        </w:tc>
        <w:tc>
          <w:tcPr>
            <w:tcW w:w="690" w:type="dxa"/>
            <w:tcBorders>
              <w:top w:val="single" w:sz="4" w:space="0" w:color="auto"/>
              <w:left w:val="single" w:sz="4" w:space="0" w:color="auto"/>
              <w:bottom w:val="single" w:sz="4" w:space="0" w:color="auto"/>
              <w:right w:val="single" w:sz="4" w:space="0" w:color="auto"/>
            </w:tcBorders>
          </w:tcPr>
          <w:p w14:paraId="456C3BF7" w14:textId="77777777" w:rsidR="00DC04EB" w:rsidRPr="00DA48AF" w:rsidRDefault="00DC04EB">
            <w:pPr>
              <w:suppressAutoHyphens/>
              <w:spacing w:line="360" w:lineRule="auto"/>
              <w:rPr>
                <w:rFonts w:cstheme="minorHAnsi"/>
                <w:b/>
                <w:i/>
                <w:sz w:val="18"/>
              </w:rPr>
            </w:pPr>
          </w:p>
        </w:tc>
        <w:tc>
          <w:tcPr>
            <w:tcW w:w="661" w:type="dxa"/>
            <w:tcBorders>
              <w:top w:val="single" w:sz="4" w:space="0" w:color="auto"/>
              <w:left w:val="single" w:sz="4" w:space="0" w:color="auto"/>
              <w:bottom w:val="single" w:sz="4" w:space="0" w:color="auto"/>
              <w:right w:val="single" w:sz="4" w:space="0" w:color="auto"/>
            </w:tcBorders>
          </w:tcPr>
          <w:p w14:paraId="644545AD" w14:textId="77777777" w:rsidR="00DC04EB" w:rsidRPr="00DA48AF" w:rsidRDefault="00DC04EB">
            <w:pPr>
              <w:suppressAutoHyphens/>
              <w:spacing w:line="360" w:lineRule="auto"/>
              <w:rPr>
                <w:rFonts w:cstheme="minorHAnsi"/>
                <w:b/>
                <w:i/>
                <w:sz w:val="18"/>
              </w:rPr>
            </w:pPr>
          </w:p>
        </w:tc>
      </w:tr>
      <w:tr w:rsidR="00DC04EB" w14:paraId="57486CC4" w14:textId="77777777" w:rsidTr="00630FAB">
        <w:tc>
          <w:tcPr>
            <w:tcW w:w="2938" w:type="dxa"/>
            <w:tcBorders>
              <w:top w:val="single" w:sz="4" w:space="0" w:color="auto"/>
              <w:left w:val="single" w:sz="4" w:space="0" w:color="auto"/>
              <w:bottom w:val="single" w:sz="4" w:space="0" w:color="auto"/>
              <w:right w:val="single" w:sz="4" w:space="0" w:color="auto"/>
            </w:tcBorders>
            <w:hideMark/>
          </w:tcPr>
          <w:p w14:paraId="13656792" w14:textId="77777777" w:rsidR="00DC04EB" w:rsidRPr="00630FAB" w:rsidRDefault="00DC04EB">
            <w:pPr>
              <w:suppressAutoHyphens/>
              <w:rPr>
                <w:rFonts w:ascii="Times New Roman" w:hAnsi="Times New Roman" w:cs="Times New Roman"/>
                <w:b/>
                <w:i/>
              </w:rPr>
            </w:pPr>
            <w:r w:rsidRPr="00630FAB">
              <w:rPr>
                <w:rFonts w:ascii="Times New Roman" w:hAnsi="Times New Roman" w:cs="Times New Roman"/>
              </w:rPr>
              <w:t>Třídění dat a jejich statistické zpracování</w:t>
            </w:r>
          </w:p>
        </w:tc>
        <w:tc>
          <w:tcPr>
            <w:tcW w:w="812" w:type="dxa"/>
            <w:tcBorders>
              <w:top w:val="single" w:sz="4" w:space="0" w:color="auto"/>
              <w:left w:val="single" w:sz="4" w:space="0" w:color="auto"/>
              <w:bottom w:val="single" w:sz="4" w:space="0" w:color="auto"/>
              <w:right w:val="single" w:sz="4" w:space="0" w:color="auto"/>
            </w:tcBorders>
          </w:tcPr>
          <w:p w14:paraId="3442F7CC" w14:textId="77777777" w:rsidR="00DC04EB" w:rsidRPr="00DA48AF" w:rsidRDefault="00DC04EB">
            <w:pPr>
              <w:suppressAutoHyphens/>
              <w:spacing w:line="360" w:lineRule="auto"/>
              <w:rPr>
                <w:rFonts w:cstheme="minorHAnsi"/>
                <w:b/>
                <w:i/>
                <w:sz w:val="18"/>
              </w:rPr>
            </w:pPr>
          </w:p>
        </w:tc>
        <w:tc>
          <w:tcPr>
            <w:tcW w:w="780" w:type="dxa"/>
            <w:tcBorders>
              <w:top w:val="single" w:sz="4" w:space="0" w:color="auto"/>
              <w:left w:val="single" w:sz="4" w:space="0" w:color="auto"/>
              <w:bottom w:val="single" w:sz="4" w:space="0" w:color="auto"/>
              <w:right w:val="single" w:sz="4" w:space="0" w:color="auto"/>
            </w:tcBorders>
          </w:tcPr>
          <w:p w14:paraId="082929F3" w14:textId="77777777" w:rsidR="00DC04EB" w:rsidRPr="00DA48AF" w:rsidRDefault="00DC04EB">
            <w:pPr>
              <w:suppressAutoHyphens/>
              <w:spacing w:line="360" w:lineRule="auto"/>
              <w:rPr>
                <w:rFonts w:cstheme="minorHAnsi"/>
                <w:b/>
                <w:i/>
                <w:sz w:val="18"/>
              </w:rPr>
            </w:pPr>
          </w:p>
        </w:tc>
        <w:tc>
          <w:tcPr>
            <w:tcW w:w="968" w:type="dxa"/>
            <w:tcBorders>
              <w:top w:val="single" w:sz="4" w:space="0" w:color="auto"/>
              <w:left w:val="single" w:sz="4" w:space="0" w:color="auto"/>
              <w:bottom w:val="single" w:sz="4" w:space="0" w:color="auto"/>
              <w:right w:val="single" w:sz="4" w:space="0" w:color="auto"/>
            </w:tcBorders>
            <w:shd w:val="clear" w:color="auto" w:fill="FF0000"/>
          </w:tcPr>
          <w:p w14:paraId="2E3B04C7" w14:textId="77777777" w:rsidR="00DC04EB" w:rsidRPr="00DA48AF" w:rsidRDefault="00DC04EB">
            <w:pPr>
              <w:suppressAutoHyphens/>
              <w:spacing w:line="360" w:lineRule="auto"/>
              <w:rPr>
                <w:rFonts w:cstheme="minorHAnsi"/>
                <w:b/>
                <w:i/>
                <w:sz w:val="18"/>
              </w:rPr>
            </w:pPr>
          </w:p>
        </w:tc>
        <w:tc>
          <w:tcPr>
            <w:tcW w:w="593" w:type="dxa"/>
            <w:tcBorders>
              <w:top w:val="single" w:sz="4" w:space="0" w:color="auto"/>
              <w:left w:val="single" w:sz="4" w:space="0" w:color="auto"/>
              <w:bottom w:val="single" w:sz="4" w:space="0" w:color="auto"/>
              <w:right w:val="single" w:sz="4" w:space="0" w:color="auto"/>
            </w:tcBorders>
            <w:shd w:val="clear" w:color="auto" w:fill="FF0000"/>
          </w:tcPr>
          <w:p w14:paraId="2933144C" w14:textId="77777777" w:rsidR="00DC04EB" w:rsidRPr="00DA48AF" w:rsidRDefault="00DC04EB">
            <w:pPr>
              <w:suppressAutoHyphens/>
              <w:spacing w:line="360" w:lineRule="auto"/>
              <w:rPr>
                <w:rFonts w:cstheme="minorHAnsi"/>
                <w:b/>
                <w:i/>
                <w:sz w:val="18"/>
              </w:rPr>
            </w:pPr>
          </w:p>
        </w:tc>
        <w:tc>
          <w:tcPr>
            <w:tcW w:w="659" w:type="dxa"/>
            <w:tcBorders>
              <w:top w:val="single" w:sz="4" w:space="0" w:color="auto"/>
              <w:left w:val="single" w:sz="4" w:space="0" w:color="auto"/>
              <w:bottom w:val="single" w:sz="4" w:space="0" w:color="auto"/>
              <w:right w:val="single" w:sz="4" w:space="0" w:color="auto"/>
            </w:tcBorders>
            <w:shd w:val="clear" w:color="auto" w:fill="FF0000"/>
          </w:tcPr>
          <w:p w14:paraId="279E5E75" w14:textId="77777777" w:rsidR="00DC04EB" w:rsidRPr="00DA48AF" w:rsidRDefault="00DC04EB">
            <w:pPr>
              <w:suppressAutoHyphens/>
              <w:spacing w:line="360" w:lineRule="auto"/>
              <w:rPr>
                <w:rFonts w:cstheme="minorHAnsi"/>
                <w:b/>
                <w:i/>
                <w:sz w:val="18"/>
              </w:rPr>
            </w:pPr>
          </w:p>
        </w:tc>
        <w:tc>
          <w:tcPr>
            <w:tcW w:w="961" w:type="dxa"/>
            <w:tcBorders>
              <w:top w:val="single" w:sz="4" w:space="0" w:color="auto"/>
              <w:left w:val="single" w:sz="4" w:space="0" w:color="auto"/>
              <w:bottom w:val="single" w:sz="4" w:space="0" w:color="auto"/>
              <w:right w:val="single" w:sz="4" w:space="0" w:color="auto"/>
            </w:tcBorders>
          </w:tcPr>
          <w:p w14:paraId="019A86D9" w14:textId="77777777" w:rsidR="00DC04EB" w:rsidRPr="00DA48AF" w:rsidRDefault="00DC04EB">
            <w:pPr>
              <w:suppressAutoHyphens/>
              <w:spacing w:line="360" w:lineRule="auto"/>
              <w:rPr>
                <w:rFonts w:cstheme="minorHAnsi"/>
                <w:b/>
                <w:i/>
                <w:sz w:val="18"/>
              </w:rPr>
            </w:pPr>
          </w:p>
        </w:tc>
        <w:tc>
          <w:tcPr>
            <w:tcW w:w="690" w:type="dxa"/>
            <w:tcBorders>
              <w:top w:val="single" w:sz="4" w:space="0" w:color="auto"/>
              <w:left w:val="single" w:sz="4" w:space="0" w:color="auto"/>
              <w:bottom w:val="single" w:sz="4" w:space="0" w:color="auto"/>
              <w:right w:val="single" w:sz="4" w:space="0" w:color="auto"/>
            </w:tcBorders>
          </w:tcPr>
          <w:p w14:paraId="2033EC3B" w14:textId="77777777" w:rsidR="00DC04EB" w:rsidRPr="00DA48AF" w:rsidRDefault="00DC04EB">
            <w:pPr>
              <w:suppressAutoHyphens/>
              <w:spacing w:line="360" w:lineRule="auto"/>
              <w:rPr>
                <w:rFonts w:cstheme="minorHAnsi"/>
                <w:b/>
                <w:i/>
                <w:sz w:val="18"/>
              </w:rPr>
            </w:pPr>
          </w:p>
        </w:tc>
        <w:tc>
          <w:tcPr>
            <w:tcW w:w="661" w:type="dxa"/>
            <w:tcBorders>
              <w:top w:val="single" w:sz="4" w:space="0" w:color="auto"/>
              <w:left w:val="single" w:sz="4" w:space="0" w:color="auto"/>
              <w:bottom w:val="single" w:sz="4" w:space="0" w:color="auto"/>
              <w:right w:val="single" w:sz="4" w:space="0" w:color="auto"/>
            </w:tcBorders>
          </w:tcPr>
          <w:p w14:paraId="02FA4C29" w14:textId="77777777" w:rsidR="00DC04EB" w:rsidRPr="00DA48AF" w:rsidRDefault="00DC04EB">
            <w:pPr>
              <w:suppressAutoHyphens/>
              <w:spacing w:line="360" w:lineRule="auto"/>
              <w:rPr>
                <w:rFonts w:cstheme="minorHAnsi"/>
                <w:b/>
                <w:i/>
                <w:sz w:val="18"/>
              </w:rPr>
            </w:pPr>
          </w:p>
        </w:tc>
      </w:tr>
      <w:tr w:rsidR="00DC04EB" w14:paraId="119689B7" w14:textId="77777777" w:rsidTr="00630FAB">
        <w:tc>
          <w:tcPr>
            <w:tcW w:w="2938" w:type="dxa"/>
            <w:tcBorders>
              <w:top w:val="single" w:sz="4" w:space="0" w:color="auto"/>
              <w:left w:val="single" w:sz="4" w:space="0" w:color="auto"/>
              <w:bottom w:val="single" w:sz="4" w:space="0" w:color="auto"/>
              <w:right w:val="single" w:sz="4" w:space="0" w:color="auto"/>
            </w:tcBorders>
            <w:hideMark/>
          </w:tcPr>
          <w:p w14:paraId="10816F51" w14:textId="77777777" w:rsidR="00DC04EB" w:rsidRPr="00630FAB" w:rsidRDefault="00DC04EB">
            <w:pPr>
              <w:suppressAutoHyphens/>
              <w:rPr>
                <w:rFonts w:ascii="Times New Roman" w:hAnsi="Times New Roman" w:cs="Times New Roman"/>
                <w:b/>
                <w:i/>
              </w:rPr>
            </w:pPr>
            <w:r w:rsidRPr="00630FAB">
              <w:rPr>
                <w:rFonts w:ascii="Times New Roman" w:hAnsi="Times New Roman" w:cs="Times New Roman"/>
              </w:rPr>
              <w:t>Příprava publikace do odborného periodika</w:t>
            </w:r>
          </w:p>
        </w:tc>
        <w:tc>
          <w:tcPr>
            <w:tcW w:w="812" w:type="dxa"/>
            <w:tcBorders>
              <w:top w:val="single" w:sz="4" w:space="0" w:color="auto"/>
              <w:left w:val="single" w:sz="4" w:space="0" w:color="auto"/>
              <w:bottom w:val="single" w:sz="4" w:space="0" w:color="auto"/>
              <w:right w:val="single" w:sz="4" w:space="0" w:color="auto"/>
            </w:tcBorders>
          </w:tcPr>
          <w:p w14:paraId="50982987" w14:textId="77777777" w:rsidR="00DC04EB" w:rsidRPr="00DA48AF" w:rsidRDefault="00DC04EB">
            <w:pPr>
              <w:suppressAutoHyphens/>
              <w:spacing w:line="360" w:lineRule="auto"/>
              <w:rPr>
                <w:rFonts w:cstheme="minorHAnsi"/>
                <w:b/>
                <w:i/>
                <w:sz w:val="18"/>
              </w:rPr>
            </w:pPr>
          </w:p>
        </w:tc>
        <w:tc>
          <w:tcPr>
            <w:tcW w:w="780" w:type="dxa"/>
            <w:tcBorders>
              <w:top w:val="single" w:sz="4" w:space="0" w:color="auto"/>
              <w:left w:val="single" w:sz="4" w:space="0" w:color="auto"/>
              <w:bottom w:val="single" w:sz="4" w:space="0" w:color="auto"/>
              <w:right w:val="single" w:sz="4" w:space="0" w:color="auto"/>
            </w:tcBorders>
          </w:tcPr>
          <w:p w14:paraId="787DF53C" w14:textId="77777777" w:rsidR="00DC04EB" w:rsidRPr="00DA48AF" w:rsidRDefault="00DC04EB">
            <w:pPr>
              <w:suppressAutoHyphens/>
              <w:spacing w:line="360" w:lineRule="auto"/>
              <w:rPr>
                <w:rFonts w:cstheme="minorHAnsi"/>
                <w:b/>
                <w:i/>
                <w:sz w:val="18"/>
              </w:rPr>
            </w:pPr>
          </w:p>
        </w:tc>
        <w:tc>
          <w:tcPr>
            <w:tcW w:w="968" w:type="dxa"/>
            <w:tcBorders>
              <w:top w:val="single" w:sz="4" w:space="0" w:color="auto"/>
              <w:left w:val="single" w:sz="4" w:space="0" w:color="auto"/>
              <w:bottom w:val="single" w:sz="4" w:space="0" w:color="auto"/>
              <w:right w:val="single" w:sz="4" w:space="0" w:color="auto"/>
            </w:tcBorders>
          </w:tcPr>
          <w:p w14:paraId="1335ECCB" w14:textId="77777777" w:rsidR="00DC04EB" w:rsidRPr="00DA48AF" w:rsidRDefault="00DC04EB">
            <w:pPr>
              <w:suppressAutoHyphens/>
              <w:spacing w:line="360" w:lineRule="auto"/>
              <w:rPr>
                <w:rFonts w:cstheme="minorHAnsi"/>
                <w:b/>
                <w:i/>
                <w:sz w:val="18"/>
              </w:rPr>
            </w:pPr>
          </w:p>
        </w:tc>
        <w:tc>
          <w:tcPr>
            <w:tcW w:w="593" w:type="dxa"/>
            <w:tcBorders>
              <w:top w:val="single" w:sz="4" w:space="0" w:color="auto"/>
              <w:left w:val="single" w:sz="4" w:space="0" w:color="auto"/>
              <w:bottom w:val="single" w:sz="4" w:space="0" w:color="auto"/>
              <w:right w:val="single" w:sz="4" w:space="0" w:color="auto"/>
            </w:tcBorders>
            <w:shd w:val="clear" w:color="auto" w:fill="FFFFFF" w:themeFill="background1"/>
          </w:tcPr>
          <w:p w14:paraId="16C9F41A" w14:textId="77777777" w:rsidR="00DC04EB" w:rsidRPr="00DA48AF" w:rsidRDefault="00DC04EB">
            <w:pPr>
              <w:suppressAutoHyphens/>
              <w:spacing w:line="360" w:lineRule="auto"/>
              <w:rPr>
                <w:rFonts w:cstheme="minorHAnsi"/>
                <w:b/>
                <w:i/>
                <w:sz w:val="18"/>
              </w:rPr>
            </w:pPr>
          </w:p>
        </w:tc>
        <w:tc>
          <w:tcPr>
            <w:tcW w:w="659" w:type="dxa"/>
            <w:tcBorders>
              <w:top w:val="single" w:sz="4" w:space="0" w:color="auto"/>
              <w:left w:val="single" w:sz="4" w:space="0" w:color="auto"/>
              <w:bottom w:val="single" w:sz="4" w:space="0" w:color="auto"/>
              <w:right w:val="single" w:sz="4" w:space="0" w:color="auto"/>
            </w:tcBorders>
            <w:shd w:val="clear" w:color="auto" w:fill="00B0F0"/>
          </w:tcPr>
          <w:p w14:paraId="5CA64071" w14:textId="77777777" w:rsidR="00DC04EB" w:rsidRPr="00DA48AF" w:rsidRDefault="00DC04EB">
            <w:pPr>
              <w:suppressAutoHyphens/>
              <w:spacing w:line="360" w:lineRule="auto"/>
              <w:rPr>
                <w:rFonts w:cstheme="minorHAnsi"/>
                <w:b/>
                <w:i/>
                <w:sz w:val="18"/>
              </w:rPr>
            </w:pPr>
          </w:p>
        </w:tc>
        <w:tc>
          <w:tcPr>
            <w:tcW w:w="961" w:type="dxa"/>
            <w:tcBorders>
              <w:top w:val="single" w:sz="4" w:space="0" w:color="auto"/>
              <w:left w:val="single" w:sz="4" w:space="0" w:color="auto"/>
              <w:bottom w:val="single" w:sz="4" w:space="0" w:color="auto"/>
              <w:right w:val="single" w:sz="4" w:space="0" w:color="auto"/>
            </w:tcBorders>
            <w:shd w:val="clear" w:color="auto" w:fill="00B0F0"/>
          </w:tcPr>
          <w:p w14:paraId="71031553" w14:textId="77777777" w:rsidR="00DC04EB" w:rsidRPr="00DA48AF" w:rsidRDefault="00DC04EB">
            <w:pPr>
              <w:suppressAutoHyphens/>
              <w:spacing w:line="360" w:lineRule="auto"/>
              <w:rPr>
                <w:rFonts w:cstheme="minorHAnsi"/>
                <w:b/>
                <w:i/>
                <w:sz w:val="18"/>
              </w:rPr>
            </w:pPr>
          </w:p>
        </w:tc>
        <w:tc>
          <w:tcPr>
            <w:tcW w:w="690" w:type="dxa"/>
            <w:tcBorders>
              <w:top w:val="single" w:sz="4" w:space="0" w:color="auto"/>
              <w:left w:val="single" w:sz="4" w:space="0" w:color="auto"/>
              <w:bottom w:val="single" w:sz="4" w:space="0" w:color="auto"/>
              <w:right w:val="single" w:sz="4" w:space="0" w:color="auto"/>
            </w:tcBorders>
          </w:tcPr>
          <w:p w14:paraId="1E560F09" w14:textId="77777777" w:rsidR="00DC04EB" w:rsidRPr="00DA48AF" w:rsidRDefault="00DC04EB">
            <w:pPr>
              <w:suppressAutoHyphens/>
              <w:spacing w:line="360" w:lineRule="auto"/>
              <w:rPr>
                <w:rFonts w:cstheme="minorHAnsi"/>
                <w:b/>
                <w:i/>
                <w:sz w:val="18"/>
              </w:rPr>
            </w:pPr>
          </w:p>
        </w:tc>
        <w:tc>
          <w:tcPr>
            <w:tcW w:w="661" w:type="dxa"/>
            <w:tcBorders>
              <w:top w:val="single" w:sz="4" w:space="0" w:color="auto"/>
              <w:left w:val="single" w:sz="4" w:space="0" w:color="auto"/>
              <w:bottom w:val="single" w:sz="4" w:space="0" w:color="auto"/>
              <w:right w:val="single" w:sz="4" w:space="0" w:color="auto"/>
            </w:tcBorders>
          </w:tcPr>
          <w:p w14:paraId="668B85BD" w14:textId="77777777" w:rsidR="00DC04EB" w:rsidRPr="00DA48AF" w:rsidRDefault="00DC04EB">
            <w:pPr>
              <w:suppressAutoHyphens/>
              <w:spacing w:line="360" w:lineRule="auto"/>
              <w:rPr>
                <w:rFonts w:cstheme="minorHAnsi"/>
                <w:b/>
                <w:i/>
                <w:sz w:val="18"/>
              </w:rPr>
            </w:pPr>
          </w:p>
        </w:tc>
      </w:tr>
      <w:tr w:rsidR="00DC04EB" w14:paraId="662EF056" w14:textId="77777777" w:rsidTr="00630FAB">
        <w:tc>
          <w:tcPr>
            <w:tcW w:w="2938" w:type="dxa"/>
            <w:tcBorders>
              <w:top w:val="single" w:sz="4" w:space="0" w:color="auto"/>
              <w:left w:val="single" w:sz="4" w:space="0" w:color="auto"/>
              <w:bottom w:val="single" w:sz="4" w:space="0" w:color="auto"/>
              <w:right w:val="single" w:sz="4" w:space="0" w:color="auto"/>
            </w:tcBorders>
            <w:hideMark/>
          </w:tcPr>
          <w:p w14:paraId="572DF417" w14:textId="77777777" w:rsidR="00DC04EB" w:rsidRPr="00630FAB" w:rsidRDefault="00DC04EB">
            <w:pPr>
              <w:suppressAutoHyphens/>
              <w:rPr>
                <w:rFonts w:ascii="Times New Roman" w:hAnsi="Times New Roman" w:cs="Times New Roman"/>
              </w:rPr>
            </w:pPr>
            <w:r w:rsidRPr="00630FAB">
              <w:rPr>
                <w:rFonts w:ascii="Times New Roman" w:hAnsi="Times New Roman" w:cs="Times New Roman"/>
              </w:rPr>
              <w:t>Zpracování a odevzdání závěrečné zprávy</w:t>
            </w:r>
          </w:p>
        </w:tc>
        <w:tc>
          <w:tcPr>
            <w:tcW w:w="812" w:type="dxa"/>
            <w:tcBorders>
              <w:top w:val="single" w:sz="4" w:space="0" w:color="auto"/>
              <w:left w:val="single" w:sz="4" w:space="0" w:color="auto"/>
              <w:bottom w:val="single" w:sz="4" w:space="0" w:color="auto"/>
              <w:right w:val="single" w:sz="4" w:space="0" w:color="auto"/>
            </w:tcBorders>
          </w:tcPr>
          <w:p w14:paraId="18FA028E" w14:textId="77777777" w:rsidR="00DC04EB" w:rsidRPr="00DA48AF" w:rsidRDefault="00DC04EB">
            <w:pPr>
              <w:suppressAutoHyphens/>
              <w:spacing w:line="360" w:lineRule="auto"/>
              <w:rPr>
                <w:rFonts w:cstheme="minorHAnsi"/>
                <w:b/>
                <w:i/>
                <w:sz w:val="18"/>
              </w:rPr>
            </w:pPr>
          </w:p>
        </w:tc>
        <w:tc>
          <w:tcPr>
            <w:tcW w:w="780" w:type="dxa"/>
            <w:tcBorders>
              <w:top w:val="single" w:sz="4" w:space="0" w:color="auto"/>
              <w:left w:val="single" w:sz="4" w:space="0" w:color="auto"/>
              <w:bottom w:val="single" w:sz="4" w:space="0" w:color="auto"/>
              <w:right w:val="single" w:sz="4" w:space="0" w:color="auto"/>
            </w:tcBorders>
          </w:tcPr>
          <w:p w14:paraId="4A40C027" w14:textId="77777777" w:rsidR="00DC04EB" w:rsidRPr="00DA48AF" w:rsidRDefault="00DC04EB">
            <w:pPr>
              <w:suppressAutoHyphens/>
              <w:spacing w:line="360" w:lineRule="auto"/>
              <w:rPr>
                <w:rFonts w:cstheme="minorHAnsi"/>
                <w:b/>
                <w:i/>
                <w:sz w:val="18"/>
              </w:rPr>
            </w:pPr>
          </w:p>
        </w:tc>
        <w:tc>
          <w:tcPr>
            <w:tcW w:w="968" w:type="dxa"/>
            <w:tcBorders>
              <w:top w:val="single" w:sz="4" w:space="0" w:color="auto"/>
              <w:left w:val="single" w:sz="4" w:space="0" w:color="auto"/>
              <w:bottom w:val="single" w:sz="4" w:space="0" w:color="auto"/>
              <w:right w:val="single" w:sz="4" w:space="0" w:color="auto"/>
            </w:tcBorders>
          </w:tcPr>
          <w:p w14:paraId="31186558" w14:textId="77777777" w:rsidR="00DC04EB" w:rsidRPr="00DA48AF" w:rsidRDefault="00DC04EB">
            <w:pPr>
              <w:suppressAutoHyphens/>
              <w:spacing w:line="360" w:lineRule="auto"/>
              <w:rPr>
                <w:rFonts w:cstheme="minorHAnsi"/>
                <w:b/>
                <w:i/>
                <w:sz w:val="18"/>
              </w:rPr>
            </w:pPr>
          </w:p>
        </w:tc>
        <w:tc>
          <w:tcPr>
            <w:tcW w:w="593" w:type="dxa"/>
            <w:tcBorders>
              <w:top w:val="single" w:sz="4" w:space="0" w:color="auto"/>
              <w:left w:val="single" w:sz="4" w:space="0" w:color="auto"/>
              <w:bottom w:val="single" w:sz="4" w:space="0" w:color="auto"/>
              <w:right w:val="single" w:sz="4" w:space="0" w:color="auto"/>
            </w:tcBorders>
          </w:tcPr>
          <w:p w14:paraId="0FF4BE42" w14:textId="77777777" w:rsidR="00DC04EB" w:rsidRPr="00DA48AF" w:rsidRDefault="00DC04EB">
            <w:pPr>
              <w:suppressAutoHyphens/>
              <w:spacing w:line="360" w:lineRule="auto"/>
              <w:rPr>
                <w:rFonts w:cstheme="minorHAnsi"/>
                <w:b/>
                <w:i/>
                <w:sz w:val="18"/>
              </w:rPr>
            </w:pPr>
          </w:p>
        </w:tc>
        <w:tc>
          <w:tcPr>
            <w:tcW w:w="659" w:type="dxa"/>
            <w:tcBorders>
              <w:top w:val="single" w:sz="4" w:space="0" w:color="auto"/>
              <w:left w:val="single" w:sz="4" w:space="0" w:color="auto"/>
              <w:bottom w:val="single" w:sz="4" w:space="0" w:color="auto"/>
              <w:right w:val="single" w:sz="4" w:space="0" w:color="auto"/>
            </w:tcBorders>
          </w:tcPr>
          <w:p w14:paraId="3B33A2EC" w14:textId="77777777" w:rsidR="00DC04EB" w:rsidRPr="00DA48AF" w:rsidRDefault="00DC04EB">
            <w:pPr>
              <w:suppressAutoHyphens/>
              <w:spacing w:line="360" w:lineRule="auto"/>
              <w:rPr>
                <w:rFonts w:cstheme="minorHAnsi"/>
                <w:b/>
                <w:i/>
                <w:sz w:val="18"/>
              </w:rPr>
            </w:pPr>
          </w:p>
        </w:tc>
        <w:tc>
          <w:tcPr>
            <w:tcW w:w="961" w:type="dxa"/>
            <w:tcBorders>
              <w:top w:val="single" w:sz="4" w:space="0" w:color="auto"/>
              <w:left w:val="single" w:sz="4" w:space="0" w:color="auto"/>
              <w:bottom w:val="single" w:sz="4" w:space="0" w:color="auto"/>
              <w:right w:val="single" w:sz="4" w:space="0" w:color="auto"/>
            </w:tcBorders>
          </w:tcPr>
          <w:p w14:paraId="46FE135F" w14:textId="77777777" w:rsidR="00DC04EB" w:rsidRPr="00DA48AF" w:rsidRDefault="00DC04EB">
            <w:pPr>
              <w:suppressAutoHyphens/>
              <w:spacing w:line="360" w:lineRule="auto"/>
              <w:rPr>
                <w:rFonts w:cstheme="minorHAnsi"/>
                <w:b/>
                <w:i/>
                <w:sz w:val="18"/>
              </w:rPr>
            </w:pPr>
          </w:p>
        </w:tc>
        <w:tc>
          <w:tcPr>
            <w:tcW w:w="690" w:type="dxa"/>
            <w:tcBorders>
              <w:top w:val="single" w:sz="4" w:space="0" w:color="auto"/>
              <w:left w:val="single" w:sz="4" w:space="0" w:color="auto"/>
              <w:bottom w:val="single" w:sz="4" w:space="0" w:color="auto"/>
              <w:right w:val="single" w:sz="4" w:space="0" w:color="auto"/>
            </w:tcBorders>
            <w:shd w:val="clear" w:color="auto" w:fill="92D050"/>
          </w:tcPr>
          <w:p w14:paraId="1C3A02F9" w14:textId="77777777" w:rsidR="00DC04EB" w:rsidRPr="00DA48AF" w:rsidRDefault="00DC04EB">
            <w:pPr>
              <w:suppressAutoHyphens/>
              <w:spacing w:line="360" w:lineRule="auto"/>
              <w:rPr>
                <w:rFonts w:cstheme="minorHAnsi"/>
                <w:b/>
                <w:i/>
                <w:sz w:val="18"/>
              </w:rPr>
            </w:pPr>
          </w:p>
        </w:tc>
        <w:tc>
          <w:tcPr>
            <w:tcW w:w="661" w:type="dxa"/>
            <w:tcBorders>
              <w:top w:val="single" w:sz="4" w:space="0" w:color="auto"/>
              <w:left w:val="single" w:sz="4" w:space="0" w:color="auto"/>
              <w:bottom w:val="single" w:sz="4" w:space="0" w:color="auto"/>
              <w:right w:val="single" w:sz="4" w:space="0" w:color="auto"/>
            </w:tcBorders>
            <w:shd w:val="clear" w:color="auto" w:fill="92D050"/>
          </w:tcPr>
          <w:p w14:paraId="7890CDAA" w14:textId="77777777" w:rsidR="00DC04EB" w:rsidRPr="00DA48AF" w:rsidRDefault="00DC04EB">
            <w:pPr>
              <w:suppressAutoHyphens/>
              <w:spacing w:line="360" w:lineRule="auto"/>
              <w:rPr>
                <w:rFonts w:cstheme="minorHAnsi"/>
                <w:b/>
                <w:i/>
                <w:sz w:val="18"/>
              </w:rPr>
            </w:pPr>
          </w:p>
        </w:tc>
      </w:tr>
    </w:tbl>
    <w:p w14:paraId="31C6FD91" w14:textId="5C2C6D05" w:rsidR="00D148A1" w:rsidRDefault="00D148A1" w:rsidP="00DC04EB">
      <w:pPr>
        <w:pStyle w:val="Nadpis1"/>
        <w:ind w:firstLine="0"/>
        <w:jc w:val="left"/>
        <w:rPr>
          <w:rFonts w:ascii="Times New Roman" w:hAnsi="Times New Roman" w:cs="Times New Roman"/>
          <w:b/>
          <w:color w:val="auto"/>
          <w:sz w:val="24"/>
          <w:szCs w:val="24"/>
        </w:rPr>
      </w:pPr>
      <w:bookmarkStart w:id="17" w:name="_Toc471898038"/>
      <w:bookmarkStart w:id="18" w:name="_Toc477332320"/>
    </w:p>
    <w:p w14:paraId="2F5F34FB" w14:textId="728044B1" w:rsidR="00EC15A4" w:rsidRDefault="00EC15A4" w:rsidP="00EC15A4"/>
    <w:p w14:paraId="3DD82D64" w14:textId="29522F2B" w:rsidR="00EC15A4" w:rsidRDefault="00EC15A4" w:rsidP="00EC15A4"/>
    <w:p w14:paraId="50E8564B" w14:textId="77777777" w:rsidR="00EC15A4" w:rsidRPr="00EC15A4" w:rsidRDefault="00EC15A4" w:rsidP="00EC15A4"/>
    <w:p w14:paraId="39FA73DA" w14:textId="77777777" w:rsidR="00DC04EB" w:rsidRDefault="00DC04EB" w:rsidP="004750F5">
      <w:pPr>
        <w:pStyle w:val="Nadpis1"/>
        <w:spacing w:line="276" w:lineRule="auto"/>
        <w:ind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4 OČEKÁVANÉ VÝSTUPY</w:t>
      </w:r>
      <w:bookmarkEnd w:id="17"/>
      <w:bookmarkEnd w:id="18"/>
    </w:p>
    <w:p w14:paraId="58582F52" w14:textId="365B3DD1" w:rsidR="0040519B" w:rsidRPr="00B53AC1" w:rsidRDefault="00DC04EB" w:rsidP="00B53AC1">
      <w:pPr>
        <w:ind w:firstLine="284"/>
        <w:jc w:val="both"/>
        <w:rPr>
          <w:rFonts w:ascii="Times New Roman" w:hAnsi="Times New Roman" w:cs="Times New Roman"/>
          <w:sz w:val="24"/>
          <w:szCs w:val="24"/>
        </w:rPr>
      </w:pPr>
      <w:r w:rsidRPr="00B53AC1">
        <w:rPr>
          <w:rFonts w:ascii="Times New Roman" w:hAnsi="Times New Roman" w:cs="Times New Roman"/>
          <w:sz w:val="24"/>
          <w:szCs w:val="24"/>
        </w:rPr>
        <w:t xml:space="preserve">Výzkum má přispět k detailnějšímu poznání problematiky růstových a vývojových trendů u současné populace dětí mladšího školního věku. </w:t>
      </w:r>
      <w:r w:rsidR="00607B75" w:rsidRPr="009B6432">
        <w:rPr>
          <w:rFonts w:ascii="Times New Roman" w:hAnsi="Times New Roman" w:cs="Times New Roman"/>
          <w:sz w:val="24"/>
          <w:szCs w:val="24"/>
        </w:rPr>
        <w:t>Růstové standardy jsou důležitým ukazatelem zdravotního a nutričního stavu dětí.</w:t>
      </w:r>
      <w:r w:rsidR="00607B75" w:rsidRPr="00607B75">
        <w:rPr>
          <w:rFonts w:ascii="Times New Roman" w:hAnsi="Times New Roman" w:cs="Times New Roman"/>
          <w:color w:val="FF0000"/>
          <w:sz w:val="24"/>
          <w:szCs w:val="24"/>
        </w:rPr>
        <w:t xml:space="preserve"> </w:t>
      </w:r>
      <w:r w:rsidR="00630FAB" w:rsidRPr="00B53AC1">
        <w:rPr>
          <w:rFonts w:ascii="Times New Roman" w:hAnsi="Times New Roman" w:cs="Times New Roman"/>
          <w:sz w:val="24"/>
          <w:szCs w:val="24"/>
        </w:rPr>
        <w:t xml:space="preserve">Výzkum je prováděn za účelem </w:t>
      </w:r>
      <w:r w:rsidR="0012533D" w:rsidRPr="00B53AC1">
        <w:rPr>
          <w:rFonts w:ascii="Times New Roman" w:hAnsi="Times New Roman" w:cs="Times New Roman"/>
          <w:sz w:val="24"/>
          <w:szCs w:val="24"/>
        </w:rPr>
        <w:t>vytvoření národních pohlavně specifických percentilových grafů</w:t>
      </w:r>
      <w:r w:rsidRPr="00B53AC1">
        <w:rPr>
          <w:rFonts w:ascii="Times New Roman" w:hAnsi="Times New Roman" w:cs="Times New Roman"/>
          <w:sz w:val="24"/>
          <w:szCs w:val="24"/>
        </w:rPr>
        <w:t xml:space="preserve"> </w:t>
      </w:r>
      <w:r w:rsidR="0012533D" w:rsidRPr="00B53AC1">
        <w:rPr>
          <w:rFonts w:ascii="Times New Roman" w:hAnsi="Times New Roman" w:cs="Times New Roman"/>
          <w:sz w:val="24"/>
          <w:szCs w:val="24"/>
        </w:rPr>
        <w:t>množství svalové hmoty a těles</w:t>
      </w:r>
      <w:r w:rsidR="004750F5" w:rsidRPr="00B53AC1">
        <w:rPr>
          <w:rFonts w:ascii="Times New Roman" w:hAnsi="Times New Roman" w:cs="Times New Roman"/>
          <w:sz w:val="24"/>
          <w:szCs w:val="24"/>
        </w:rPr>
        <w:t xml:space="preserve">ného tuku, jež aktuálně v ČR nemáme k dispozici. </w:t>
      </w:r>
      <w:r w:rsidR="0040519B" w:rsidRPr="00B53AC1">
        <w:rPr>
          <w:rFonts w:ascii="Times New Roman" w:hAnsi="Times New Roman" w:cs="Times New Roman"/>
          <w:sz w:val="24"/>
          <w:szCs w:val="24"/>
        </w:rPr>
        <w:t xml:space="preserve">Na základě použití těchto grafů bude při hodnocení </w:t>
      </w:r>
      <w:r w:rsidR="00607B75" w:rsidRPr="009B6432">
        <w:rPr>
          <w:rFonts w:ascii="Times New Roman" w:hAnsi="Times New Roman" w:cs="Times New Roman"/>
          <w:sz w:val="24"/>
          <w:szCs w:val="24"/>
        </w:rPr>
        <w:t xml:space="preserve">somatického </w:t>
      </w:r>
      <w:r w:rsidR="0040519B" w:rsidRPr="00B53AC1">
        <w:rPr>
          <w:rFonts w:ascii="Times New Roman" w:hAnsi="Times New Roman" w:cs="Times New Roman"/>
          <w:sz w:val="24"/>
          <w:szCs w:val="24"/>
        </w:rPr>
        <w:t xml:space="preserve">stavu probanda jasné, zda je jeho </w:t>
      </w:r>
      <w:r w:rsidR="00607B75" w:rsidRPr="009B6432">
        <w:rPr>
          <w:rFonts w:ascii="Times New Roman" w:hAnsi="Times New Roman" w:cs="Times New Roman"/>
          <w:sz w:val="24"/>
          <w:szCs w:val="24"/>
        </w:rPr>
        <w:t>tělesné</w:t>
      </w:r>
      <w:r w:rsidR="0040519B" w:rsidRPr="009B6432">
        <w:rPr>
          <w:rFonts w:ascii="Times New Roman" w:hAnsi="Times New Roman" w:cs="Times New Roman"/>
          <w:sz w:val="24"/>
          <w:szCs w:val="24"/>
        </w:rPr>
        <w:t xml:space="preserve"> složení </w:t>
      </w:r>
      <w:r w:rsidR="0040519B" w:rsidRPr="00B53AC1">
        <w:rPr>
          <w:rFonts w:ascii="Times New Roman" w:hAnsi="Times New Roman" w:cs="Times New Roman"/>
          <w:sz w:val="24"/>
          <w:szCs w:val="24"/>
        </w:rPr>
        <w:t xml:space="preserve">v normě, či zda a jak se od průměru odchyluje. </w:t>
      </w:r>
    </w:p>
    <w:p w14:paraId="722C319E" w14:textId="77777777" w:rsidR="00630FAB" w:rsidRDefault="00630FAB" w:rsidP="00DC04EB">
      <w:pPr>
        <w:rPr>
          <w:rFonts w:ascii="Times New Roman" w:hAnsi="Times New Roman" w:cs="Times New Roman"/>
          <w:b/>
          <w:sz w:val="24"/>
          <w:szCs w:val="24"/>
        </w:rPr>
      </w:pPr>
    </w:p>
    <w:p w14:paraId="24786506" w14:textId="77777777" w:rsidR="00DC04EB" w:rsidRPr="0012533D" w:rsidRDefault="00DC04EB" w:rsidP="004750F5">
      <w:pPr>
        <w:spacing w:line="276" w:lineRule="auto"/>
        <w:rPr>
          <w:rFonts w:ascii="Times New Roman" w:hAnsi="Times New Roman" w:cs="Times New Roman"/>
          <w:color w:val="7030A0"/>
          <w:sz w:val="24"/>
          <w:szCs w:val="24"/>
        </w:rPr>
      </w:pPr>
      <w:r w:rsidRPr="0012533D">
        <w:rPr>
          <w:rFonts w:ascii="Times New Roman" w:hAnsi="Times New Roman" w:cs="Times New Roman"/>
          <w:b/>
          <w:sz w:val="24"/>
          <w:szCs w:val="24"/>
        </w:rPr>
        <w:t>Publikační výstupy</w:t>
      </w:r>
      <w:r w:rsidRPr="0012533D">
        <w:rPr>
          <w:rFonts w:ascii="Times New Roman" w:hAnsi="Times New Roman" w:cs="Times New Roman"/>
          <w:sz w:val="24"/>
          <w:szCs w:val="24"/>
        </w:rPr>
        <w:t xml:space="preserve">: indexované časopisy ve </w:t>
      </w:r>
      <w:proofErr w:type="spellStart"/>
      <w:r w:rsidRPr="0012533D">
        <w:rPr>
          <w:rFonts w:ascii="Times New Roman" w:hAnsi="Times New Roman" w:cs="Times New Roman"/>
          <w:sz w:val="24"/>
          <w:szCs w:val="24"/>
        </w:rPr>
        <w:t>SCOPUSu</w:t>
      </w:r>
      <w:proofErr w:type="spellEnd"/>
      <w:r w:rsidRPr="0012533D">
        <w:rPr>
          <w:rFonts w:ascii="Times New Roman" w:hAnsi="Times New Roman" w:cs="Times New Roman"/>
          <w:sz w:val="24"/>
          <w:szCs w:val="24"/>
        </w:rPr>
        <w:t xml:space="preserve"> </w:t>
      </w:r>
      <w:proofErr w:type="spellStart"/>
      <w:r w:rsidRPr="0012533D">
        <w:rPr>
          <w:rFonts w:ascii="Times New Roman" w:hAnsi="Times New Roman" w:cs="Times New Roman"/>
          <w:sz w:val="24"/>
          <w:szCs w:val="24"/>
        </w:rPr>
        <w:t>J</w:t>
      </w:r>
      <w:r w:rsidRPr="0012533D">
        <w:rPr>
          <w:rFonts w:ascii="Times New Roman" w:hAnsi="Times New Roman" w:cs="Times New Roman"/>
          <w:sz w:val="24"/>
          <w:szCs w:val="24"/>
          <w:vertAlign w:val="subscript"/>
        </w:rPr>
        <w:t>sc</w:t>
      </w:r>
      <w:proofErr w:type="spellEnd"/>
      <w:r w:rsidRPr="0012533D">
        <w:rPr>
          <w:rFonts w:ascii="Times New Roman" w:hAnsi="Times New Roman" w:cs="Times New Roman"/>
          <w:sz w:val="24"/>
          <w:szCs w:val="24"/>
        </w:rPr>
        <w:t xml:space="preserve">: Česko-slovenská pediatrie, </w:t>
      </w:r>
      <w:proofErr w:type="spellStart"/>
      <w:r w:rsidRPr="0012533D">
        <w:rPr>
          <w:rFonts w:ascii="Times New Roman" w:hAnsi="Times New Roman" w:cs="Times New Roman"/>
          <w:sz w:val="24"/>
          <w:szCs w:val="24"/>
        </w:rPr>
        <w:t>Biomedical</w:t>
      </w:r>
      <w:proofErr w:type="spellEnd"/>
      <w:r w:rsidRPr="0012533D">
        <w:rPr>
          <w:rFonts w:ascii="Times New Roman" w:hAnsi="Times New Roman" w:cs="Times New Roman"/>
          <w:sz w:val="24"/>
          <w:szCs w:val="24"/>
        </w:rPr>
        <w:t xml:space="preserve"> </w:t>
      </w:r>
      <w:proofErr w:type="spellStart"/>
      <w:r w:rsidRPr="0012533D">
        <w:rPr>
          <w:rFonts w:ascii="Times New Roman" w:hAnsi="Times New Roman" w:cs="Times New Roman"/>
          <w:sz w:val="24"/>
          <w:szCs w:val="24"/>
        </w:rPr>
        <w:t>Papers</w:t>
      </w:r>
      <w:proofErr w:type="spellEnd"/>
      <w:r w:rsidRPr="0012533D">
        <w:rPr>
          <w:rFonts w:ascii="Times New Roman" w:hAnsi="Times New Roman" w:cs="Times New Roman"/>
          <w:sz w:val="24"/>
          <w:szCs w:val="24"/>
        </w:rPr>
        <w:t xml:space="preserve"> (impakt </w:t>
      </w:r>
      <w:proofErr w:type="spellStart"/>
      <w:r w:rsidRPr="0012533D">
        <w:rPr>
          <w:rFonts w:ascii="Times New Roman" w:hAnsi="Times New Roman" w:cs="Times New Roman"/>
          <w:sz w:val="24"/>
          <w:szCs w:val="24"/>
        </w:rPr>
        <w:t>factor</w:t>
      </w:r>
      <w:proofErr w:type="spellEnd"/>
      <w:r w:rsidRPr="0012533D">
        <w:rPr>
          <w:rFonts w:ascii="Times New Roman" w:hAnsi="Times New Roman" w:cs="Times New Roman"/>
          <w:sz w:val="24"/>
          <w:szCs w:val="24"/>
        </w:rPr>
        <w:t xml:space="preserve"> 0,924)</w:t>
      </w:r>
    </w:p>
    <w:p w14:paraId="39C85CF0" w14:textId="77777777" w:rsidR="00DC04EB" w:rsidRPr="0012533D" w:rsidRDefault="00DC04EB" w:rsidP="004750F5">
      <w:pPr>
        <w:pStyle w:val="Bezmezer"/>
        <w:spacing w:line="276" w:lineRule="auto"/>
        <w:jc w:val="both"/>
        <w:rPr>
          <w:rFonts w:ascii="Times New Roman" w:hAnsi="Times New Roman" w:cs="Times New Roman"/>
          <w:sz w:val="24"/>
          <w:szCs w:val="24"/>
        </w:rPr>
      </w:pPr>
      <w:r w:rsidRPr="0012533D">
        <w:rPr>
          <w:rFonts w:ascii="Times New Roman" w:hAnsi="Times New Roman" w:cs="Times New Roman"/>
          <w:b/>
          <w:sz w:val="24"/>
          <w:szCs w:val="24"/>
        </w:rPr>
        <w:t>Prezentace</w:t>
      </w:r>
      <w:r w:rsidRPr="0012533D">
        <w:rPr>
          <w:rFonts w:ascii="Times New Roman" w:hAnsi="Times New Roman" w:cs="Times New Roman"/>
          <w:sz w:val="24"/>
          <w:szCs w:val="24"/>
        </w:rPr>
        <w:t>: 5</w:t>
      </w:r>
      <w:r w:rsidRPr="0012533D">
        <w:rPr>
          <w:rFonts w:ascii="Times New Roman" w:hAnsi="Times New Roman" w:cs="Times New Roman"/>
          <w:sz w:val="24"/>
          <w:szCs w:val="24"/>
          <w:vertAlign w:val="superscript"/>
        </w:rPr>
        <w:t xml:space="preserve">th </w:t>
      </w:r>
      <w:r w:rsidRPr="0012533D">
        <w:rPr>
          <w:rFonts w:ascii="Times New Roman" w:hAnsi="Times New Roman" w:cs="Times New Roman"/>
          <w:sz w:val="24"/>
          <w:szCs w:val="24"/>
        </w:rPr>
        <w:t xml:space="preserve">International </w:t>
      </w:r>
      <w:proofErr w:type="spellStart"/>
      <w:r w:rsidRPr="0012533D">
        <w:rPr>
          <w:rFonts w:ascii="Times New Roman" w:hAnsi="Times New Roman" w:cs="Times New Roman"/>
          <w:sz w:val="24"/>
          <w:szCs w:val="24"/>
        </w:rPr>
        <w:t>Conference</w:t>
      </w:r>
      <w:proofErr w:type="spellEnd"/>
      <w:r w:rsidRPr="0012533D">
        <w:rPr>
          <w:rFonts w:ascii="Times New Roman" w:hAnsi="Times New Roman" w:cs="Times New Roman"/>
          <w:sz w:val="24"/>
          <w:szCs w:val="24"/>
        </w:rPr>
        <w:t xml:space="preserve"> </w:t>
      </w:r>
      <w:proofErr w:type="spellStart"/>
      <w:r w:rsidRPr="0012533D">
        <w:rPr>
          <w:rFonts w:ascii="Times New Roman" w:hAnsi="Times New Roman" w:cs="Times New Roman"/>
          <w:sz w:val="24"/>
          <w:szCs w:val="24"/>
        </w:rPr>
        <w:t>of</w:t>
      </w:r>
      <w:proofErr w:type="spellEnd"/>
      <w:r w:rsidRPr="0012533D">
        <w:rPr>
          <w:rFonts w:ascii="Times New Roman" w:hAnsi="Times New Roman" w:cs="Times New Roman"/>
          <w:sz w:val="24"/>
          <w:szCs w:val="24"/>
        </w:rPr>
        <w:t xml:space="preserve"> </w:t>
      </w:r>
      <w:proofErr w:type="spellStart"/>
      <w:r w:rsidRPr="0012533D">
        <w:rPr>
          <w:rFonts w:ascii="Times New Roman" w:hAnsi="Times New Roman" w:cs="Times New Roman"/>
          <w:sz w:val="24"/>
          <w:szCs w:val="24"/>
        </w:rPr>
        <w:t>Nutrition</w:t>
      </w:r>
      <w:proofErr w:type="spellEnd"/>
      <w:r w:rsidRPr="0012533D">
        <w:rPr>
          <w:rFonts w:ascii="Times New Roman" w:hAnsi="Times New Roman" w:cs="Times New Roman"/>
          <w:sz w:val="24"/>
          <w:szCs w:val="24"/>
        </w:rPr>
        <w:t xml:space="preserve"> and </w:t>
      </w:r>
      <w:proofErr w:type="spellStart"/>
      <w:r w:rsidRPr="0012533D">
        <w:rPr>
          <w:rFonts w:ascii="Times New Roman" w:hAnsi="Times New Roman" w:cs="Times New Roman"/>
          <w:sz w:val="24"/>
          <w:szCs w:val="24"/>
        </w:rPr>
        <w:t>Growth</w:t>
      </w:r>
      <w:proofErr w:type="spellEnd"/>
      <w:r w:rsidRPr="0012533D">
        <w:rPr>
          <w:rFonts w:ascii="Times New Roman" w:hAnsi="Times New Roman" w:cs="Times New Roman"/>
          <w:sz w:val="24"/>
          <w:szCs w:val="24"/>
        </w:rPr>
        <w:t xml:space="preserve"> Paris (2018), kongres EAA </w:t>
      </w:r>
      <w:proofErr w:type="spellStart"/>
      <w:r w:rsidRPr="0012533D">
        <w:rPr>
          <w:rFonts w:ascii="Times New Roman" w:hAnsi="Times New Roman" w:cs="Times New Roman"/>
          <w:sz w:val="24"/>
          <w:szCs w:val="24"/>
        </w:rPr>
        <w:t>Odense</w:t>
      </w:r>
      <w:proofErr w:type="spellEnd"/>
      <w:r w:rsidRPr="0012533D">
        <w:rPr>
          <w:rFonts w:ascii="Times New Roman" w:hAnsi="Times New Roman" w:cs="Times New Roman"/>
          <w:sz w:val="24"/>
          <w:szCs w:val="24"/>
        </w:rPr>
        <w:t xml:space="preserve"> (2018)</w:t>
      </w:r>
    </w:p>
    <w:p w14:paraId="56A24126" w14:textId="77777777" w:rsidR="00630FAB" w:rsidRDefault="00630FAB" w:rsidP="004750F5">
      <w:pPr>
        <w:pStyle w:val="Bezmezer"/>
        <w:spacing w:line="276" w:lineRule="auto"/>
        <w:ind w:left="1080"/>
        <w:jc w:val="both"/>
        <w:rPr>
          <w:rFonts w:ascii="Times New Roman" w:hAnsi="Times New Roman" w:cs="Times New Roman"/>
          <w:sz w:val="24"/>
          <w:szCs w:val="24"/>
        </w:rPr>
      </w:pPr>
    </w:p>
    <w:p w14:paraId="29AA201B" w14:textId="77777777" w:rsidR="00DC04EB" w:rsidRPr="0012533D" w:rsidRDefault="00DC04EB" w:rsidP="004750F5">
      <w:pPr>
        <w:pStyle w:val="Bezmezer"/>
        <w:numPr>
          <w:ilvl w:val="0"/>
          <w:numId w:val="1"/>
        </w:numPr>
        <w:spacing w:line="276" w:lineRule="auto"/>
        <w:jc w:val="both"/>
        <w:rPr>
          <w:rFonts w:ascii="Times New Roman" w:hAnsi="Times New Roman" w:cs="Times New Roman"/>
          <w:sz w:val="24"/>
          <w:szCs w:val="24"/>
        </w:rPr>
      </w:pPr>
      <w:r w:rsidRPr="0012533D">
        <w:rPr>
          <w:rFonts w:ascii="Times New Roman" w:hAnsi="Times New Roman" w:cs="Times New Roman"/>
          <w:sz w:val="24"/>
          <w:szCs w:val="24"/>
        </w:rPr>
        <w:t xml:space="preserve">Růstové </w:t>
      </w:r>
      <w:r w:rsidR="00D148A1">
        <w:rPr>
          <w:rFonts w:ascii="Times New Roman" w:hAnsi="Times New Roman" w:cs="Times New Roman"/>
          <w:sz w:val="24"/>
          <w:szCs w:val="24"/>
        </w:rPr>
        <w:t>standardy</w:t>
      </w:r>
      <w:r w:rsidRPr="0012533D">
        <w:rPr>
          <w:rFonts w:ascii="Times New Roman" w:hAnsi="Times New Roman" w:cs="Times New Roman"/>
          <w:sz w:val="24"/>
          <w:szCs w:val="24"/>
        </w:rPr>
        <w:t xml:space="preserve"> tělesného tuku u českých dětí ve věku 6–11 let.</w:t>
      </w:r>
    </w:p>
    <w:p w14:paraId="7E9E625A" w14:textId="5BEA9D7C" w:rsidR="00DC04EB" w:rsidRPr="009B6432" w:rsidRDefault="00DC04EB" w:rsidP="004750F5">
      <w:pPr>
        <w:pStyle w:val="Bezmezer"/>
        <w:numPr>
          <w:ilvl w:val="0"/>
          <w:numId w:val="1"/>
        </w:numPr>
        <w:spacing w:line="276" w:lineRule="auto"/>
        <w:jc w:val="both"/>
        <w:rPr>
          <w:rFonts w:ascii="Times New Roman" w:hAnsi="Times New Roman" w:cs="Times New Roman"/>
          <w:b/>
          <w:sz w:val="24"/>
          <w:szCs w:val="24"/>
        </w:rPr>
      </w:pPr>
      <w:r w:rsidRPr="0012533D">
        <w:rPr>
          <w:rFonts w:ascii="Times New Roman" w:hAnsi="Times New Roman" w:cs="Times New Roman"/>
          <w:sz w:val="24"/>
          <w:szCs w:val="24"/>
        </w:rPr>
        <w:t xml:space="preserve">Růstové </w:t>
      </w:r>
      <w:r w:rsidR="00D148A1">
        <w:rPr>
          <w:rFonts w:ascii="Times New Roman" w:hAnsi="Times New Roman" w:cs="Times New Roman"/>
          <w:sz w:val="24"/>
          <w:szCs w:val="24"/>
        </w:rPr>
        <w:t>standardy</w:t>
      </w:r>
      <w:r w:rsidRPr="0012533D">
        <w:rPr>
          <w:rFonts w:ascii="Times New Roman" w:hAnsi="Times New Roman" w:cs="Times New Roman"/>
          <w:sz w:val="24"/>
          <w:szCs w:val="24"/>
        </w:rPr>
        <w:t xml:space="preserve"> svalové hmoty u českých dětí ve věku 6–11 let.</w:t>
      </w:r>
    </w:p>
    <w:p w14:paraId="52A873B0" w14:textId="236B1862" w:rsidR="009B6432" w:rsidRDefault="009B6432">
      <w:pPr>
        <w:rPr>
          <w:rFonts w:ascii="Times New Roman" w:hAnsi="Times New Roman" w:cs="Times New Roman"/>
          <w:sz w:val="24"/>
          <w:szCs w:val="24"/>
        </w:rPr>
      </w:pPr>
      <w:r>
        <w:rPr>
          <w:rFonts w:ascii="Times New Roman" w:hAnsi="Times New Roman" w:cs="Times New Roman"/>
          <w:sz w:val="24"/>
          <w:szCs w:val="24"/>
        </w:rPr>
        <w:br w:type="page"/>
      </w:r>
    </w:p>
    <w:p w14:paraId="5A4437C8" w14:textId="77777777" w:rsidR="002B4618" w:rsidRPr="00D148A1" w:rsidRDefault="00D148A1" w:rsidP="00D148A1">
      <w:pPr>
        <w:pStyle w:val="Nadpis1"/>
        <w:ind w:firstLine="0"/>
        <w:rPr>
          <w:rFonts w:ascii="Times New Roman" w:hAnsi="Times New Roman" w:cs="Times New Roman"/>
          <w:b/>
          <w:color w:val="auto"/>
          <w:sz w:val="24"/>
          <w:szCs w:val="24"/>
        </w:rPr>
      </w:pPr>
      <w:bookmarkStart w:id="19" w:name="_Toc477332321"/>
      <w:r>
        <w:rPr>
          <w:rFonts w:ascii="Times New Roman" w:hAnsi="Times New Roman" w:cs="Times New Roman"/>
          <w:b/>
          <w:color w:val="auto"/>
          <w:sz w:val="24"/>
          <w:szCs w:val="24"/>
        </w:rPr>
        <w:lastRenderedPageBreak/>
        <w:t xml:space="preserve">5 </w:t>
      </w:r>
      <w:r w:rsidR="00AC5519" w:rsidRPr="00D148A1">
        <w:rPr>
          <w:rFonts w:ascii="Times New Roman" w:hAnsi="Times New Roman" w:cs="Times New Roman"/>
          <w:b/>
          <w:color w:val="auto"/>
          <w:sz w:val="24"/>
          <w:szCs w:val="24"/>
        </w:rPr>
        <w:t>REFERENČNÍ SEZNAM</w:t>
      </w:r>
      <w:bookmarkEnd w:id="19"/>
    </w:p>
    <w:p w14:paraId="6DA2BDDA"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shd w:val="clear" w:color="auto" w:fill="FFFFFF"/>
        </w:rPr>
      </w:pPr>
      <w:r w:rsidRPr="00B53AC1">
        <w:rPr>
          <w:rFonts w:ascii="Times New Roman" w:hAnsi="Times New Roman" w:cs="Times New Roman"/>
          <w:noProof/>
          <w:sz w:val="24"/>
          <w:szCs w:val="24"/>
        </w:rPr>
        <w:t xml:space="preserve">Apovian, C. M. (2016). Obesity: definition, comorbidities, causes, and burden. </w:t>
      </w:r>
      <w:proofErr w:type="spellStart"/>
      <w:r w:rsidRPr="00B53AC1">
        <w:rPr>
          <w:rFonts w:ascii="Times New Roman" w:hAnsi="Times New Roman" w:cs="Times New Roman"/>
          <w:i/>
          <w:sz w:val="24"/>
          <w:szCs w:val="24"/>
          <w:shd w:val="clear" w:color="auto" w:fill="FFFFFF"/>
        </w:rPr>
        <w:t>Am</w:t>
      </w:r>
      <w:proofErr w:type="spellEnd"/>
      <w:r w:rsidRPr="00B53AC1">
        <w:rPr>
          <w:rFonts w:ascii="Times New Roman" w:hAnsi="Times New Roman" w:cs="Times New Roman"/>
          <w:i/>
          <w:sz w:val="24"/>
          <w:szCs w:val="24"/>
          <w:shd w:val="clear" w:color="auto" w:fill="FFFFFF"/>
        </w:rPr>
        <w:t xml:space="preserve"> J </w:t>
      </w:r>
      <w:proofErr w:type="spellStart"/>
      <w:r w:rsidRPr="00B53AC1">
        <w:rPr>
          <w:rFonts w:ascii="Times New Roman" w:hAnsi="Times New Roman" w:cs="Times New Roman"/>
          <w:i/>
          <w:sz w:val="24"/>
          <w:szCs w:val="24"/>
          <w:shd w:val="clear" w:color="auto" w:fill="FFFFFF"/>
        </w:rPr>
        <w:t>Manag</w:t>
      </w:r>
      <w:proofErr w:type="spellEnd"/>
      <w:r w:rsidRPr="00B53AC1">
        <w:rPr>
          <w:rFonts w:ascii="Times New Roman" w:hAnsi="Times New Roman" w:cs="Times New Roman"/>
          <w:i/>
          <w:sz w:val="24"/>
          <w:szCs w:val="24"/>
          <w:shd w:val="clear" w:color="auto" w:fill="FFFFFF"/>
        </w:rPr>
        <w:t xml:space="preserve"> Care</w:t>
      </w:r>
      <w:r w:rsidRPr="00B53AC1">
        <w:rPr>
          <w:rFonts w:ascii="Times New Roman" w:hAnsi="Times New Roman" w:cs="Times New Roman"/>
          <w:sz w:val="24"/>
          <w:szCs w:val="24"/>
          <w:shd w:val="clear" w:color="auto" w:fill="FFFFFF"/>
        </w:rPr>
        <w:t xml:space="preserve">, </w:t>
      </w:r>
      <w:r w:rsidRPr="00B53AC1">
        <w:rPr>
          <w:rFonts w:ascii="Times New Roman" w:hAnsi="Times New Roman" w:cs="Times New Roman"/>
          <w:i/>
          <w:sz w:val="24"/>
          <w:szCs w:val="24"/>
          <w:shd w:val="clear" w:color="auto" w:fill="FFFFFF"/>
        </w:rPr>
        <w:t>22</w:t>
      </w:r>
      <w:r w:rsidRPr="00B53AC1">
        <w:rPr>
          <w:rFonts w:ascii="Times New Roman" w:hAnsi="Times New Roman" w:cs="Times New Roman"/>
          <w:sz w:val="24"/>
          <w:szCs w:val="24"/>
          <w:shd w:val="clear" w:color="auto" w:fill="FFFFFF"/>
        </w:rPr>
        <w:t>(7), 176</w:t>
      </w:r>
      <w:r w:rsidRPr="00B53AC1">
        <w:rPr>
          <w:rFonts w:ascii="Times New Roman" w:hAnsi="Times New Roman" w:cs="Times New Roman"/>
          <w:bCs/>
          <w:sz w:val="24"/>
          <w:szCs w:val="24"/>
        </w:rPr>
        <w:t>–</w:t>
      </w:r>
      <w:r w:rsidRPr="00B53AC1">
        <w:rPr>
          <w:rFonts w:ascii="Times New Roman" w:hAnsi="Times New Roman" w:cs="Times New Roman"/>
          <w:sz w:val="24"/>
          <w:szCs w:val="24"/>
          <w:shd w:val="clear" w:color="auto" w:fill="FFFFFF"/>
        </w:rPr>
        <w:t xml:space="preserve">185. </w:t>
      </w:r>
      <w:proofErr w:type="spellStart"/>
      <w:r w:rsidRPr="00B53AC1">
        <w:rPr>
          <w:rFonts w:ascii="Times New Roman" w:hAnsi="Times New Roman" w:cs="Times New Roman"/>
          <w:sz w:val="24"/>
          <w:szCs w:val="24"/>
          <w:shd w:val="clear" w:color="auto" w:fill="FFFFFF"/>
        </w:rPr>
        <w:t>Retrieved</w:t>
      </w:r>
      <w:proofErr w:type="spellEnd"/>
      <w:r w:rsidRPr="00B53AC1">
        <w:rPr>
          <w:rFonts w:ascii="Times New Roman" w:hAnsi="Times New Roman" w:cs="Times New Roman"/>
          <w:sz w:val="24"/>
          <w:szCs w:val="24"/>
          <w:shd w:val="clear" w:color="auto" w:fill="FFFFFF"/>
        </w:rPr>
        <w:t xml:space="preserve"> </w:t>
      </w:r>
      <w:proofErr w:type="spellStart"/>
      <w:r w:rsidRPr="00B53AC1">
        <w:rPr>
          <w:rFonts w:ascii="Times New Roman" w:hAnsi="Times New Roman" w:cs="Times New Roman"/>
          <w:sz w:val="24"/>
          <w:szCs w:val="24"/>
          <w:shd w:val="clear" w:color="auto" w:fill="FFFFFF"/>
        </w:rPr>
        <w:t>from</w:t>
      </w:r>
      <w:proofErr w:type="spellEnd"/>
      <w:r w:rsidRPr="00B53AC1">
        <w:rPr>
          <w:rFonts w:ascii="Times New Roman" w:hAnsi="Times New Roman" w:cs="Times New Roman"/>
          <w:sz w:val="24"/>
          <w:szCs w:val="24"/>
          <w:shd w:val="clear" w:color="auto" w:fill="FFFFFF"/>
        </w:rPr>
        <w:t xml:space="preserve"> http://www.ajmc.com/journals/supplement/2016/Impact-Obesity-Interventions-Managed-Care/Obesity-Definition-Comorbidities-Causes-Burden/</w:t>
      </w:r>
    </w:p>
    <w:p w14:paraId="175A4BC9"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Cameron</w:t>
      </w:r>
      <w:proofErr w:type="spellEnd"/>
      <w:r w:rsidRPr="00B53AC1">
        <w:rPr>
          <w:rFonts w:ascii="Times New Roman" w:hAnsi="Times New Roman" w:cs="Times New Roman"/>
          <w:sz w:val="24"/>
          <w:szCs w:val="24"/>
        </w:rPr>
        <w:t xml:space="preserve">, N., </w:t>
      </w:r>
      <w:proofErr w:type="spellStart"/>
      <w:r w:rsidRPr="00B53AC1">
        <w:rPr>
          <w:rFonts w:ascii="Times New Roman" w:hAnsi="Times New Roman" w:cs="Times New Roman"/>
          <w:sz w:val="24"/>
          <w:szCs w:val="24"/>
        </w:rPr>
        <w:t>Norgan</w:t>
      </w:r>
      <w:proofErr w:type="spellEnd"/>
      <w:r w:rsidRPr="00B53AC1">
        <w:rPr>
          <w:rFonts w:ascii="Times New Roman" w:hAnsi="Times New Roman" w:cs="Times New Roman"/>
          <w:sz w:val="24"/>
          <w:szCs w:val="24"/>
        </w:rPr>
        <w:t xml:space="preserve">, N. G., &amp; </w:t>
      </w:r>
      <w:proofErr w:type="spellStart"/>
      <w:r w:rsidRPr="00B53AC1">
        <w:rPr>
          <w:rFonts w:ascii="Times New Roman" w:hAnsi="Times New Roman" w:cs="Times New Roman"/>
          <w:sz w:val="24"/>
          <w:szCs w:val="24"/>
        </w:rPr>
        <w:t>Ellison</w:t>
      </w:r>
      <w:proofErr w:type="spellEnd"/>
      <w:r w:rsidRPr="00B53AC1">
        <w:rPr>
          <w:rFonts w:ascii="Times New Roman" w:hAnsi="Times New Roman" w:cs="Times New Roman"/>
          <w:sz w:val="24"/>
          <w:szCs w:val="24"/>
        </w:rPr>
        <w:t xml:space="preserve"> G. (2005). </w:t>
      </w:r>
      <w:proofErr w:type="spellStart"/>
      <w:r w:rsidRPr="00B53AC1">
        <w:rPr>
          <w:rFonts w:ascii="Times New Roman" w:hAnsi="Times New Roman" w:cs="Times New Roman"/>
          <w:i/>
          <w:sz w:val="24"/>
          <w:szCs w:val="24"/>
        </w:rPr>
        <w:t>Childhood</w:t>
      </w:r>
      <w:proofErr w:type="spellEnd"/>
      <w:r w:rsidRPr="00B53AC1">
        <w:rPr>
          <w:rFonts w:ascii="Times New Roman" w:hAnsi="Times New Roman" w:cs="Times New Roman"/>
          <w:i/>
          <w:sz w:val="24"/>
          <w:szCs w:val="24"/>
        </w:rPr>
        <w:t xml:space="preserve"> obesity. </w:t>
      </w:r>
      <w:proofErr w:type="spellStart"/>
      <w:r w:rsidRPr="00B53AC1">
        <w:rPr>
          <w:rFonts w:ascii="Times New Roman" w:hAnsi="Times New Roman" w:cs="Times New Roman"/>
          <w:i/>
          <w:sz w:val="24"/>
          <w:szCs w:val="24"/>
        </w:rPr>
        <w:t>Contemporary</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issue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Boca</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Raton</w:t>
      </w:r>
      <w:proofErr w:type="spellEnd"/>
      <w:r w:rsidRPr="00B53AC1">
        <w:rPr>
          <w:rFonts w:ascii="Times New Roman" w:hAnsi="Times New Roman" w:cs="Times New Roman"/>
          <w:sz w:val="24"/>
          <w:szCs w:val="24"/>
        </w:rPr>
        <w:t xml:space="preserve">: CRC </w:t>
      </w:r>
      <w:proofErr w:type="spellStart"/>
      <w:r w:rsidRPr="00B53AC1">
        <w:rPr>
          <w:rFonts w:ascii="Times New Roman" w:hAnsi="Times New Roman" w:cs="Times New Roman"/>
          <w:sz w:val="24"/>
          <w:szCs w:val="24"/>
        </w:rPr>
        <w:t>Press</w:t>
      </w:r>
      <w:proofErr w:type="spellEnd"/>
      <w:r w:rsidRPr="00B53AC1">
        <w:rPr>
          <w:rFonts w:ascii="Times New Roman" w:hAnsi="Times New Roman" w:cs="Times New Roman"/>
          <w:sz w:val="24"/>
          <w:szCs w:val="24"/>
        </w:rPr>
        <w:t>.</w:t>
      </w:r>
    </w:p>
    <w:p w14:paraId="7E1A0D98"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Cole</w:t>
      </w:r>
      <w:proofErr w:type="spellEnd"/>
      <w:r w:rsidRPr="00B53AC1">
        <w:rPr>
          <w:rFonts w:ascii="Times New Roman" w:hAnsi="Times New Roman" w:cs="Times New Roman"/>
          <w:sz w:val="24"/>
          <w:szCs w:val="24"/>
        </w:rPr>
        <w:t xml:space="preserve">, T. J., &amp; Green, P. J., (1992). </w:t>
      </w:r>
      <w:proofErr w:type="spellStart"/>
      <w:r w:rsidRPr="00B53AC1">
        <w:rPr>
          <w:rFonts w:ascii="Times New Roman" w:hAnsi="Times New Roman" w:cs="Times New Roman"/>
          <w:sz w:val="24"/>
          <w:szCs w:val="24"/>
        </w:rPr>
        <w:t>Smoothing</w:t>
      </w:r>
      <w:proofErr w:type="spellEnd"/>
      <w:r w:rsidRPr="00B53AC1">
        <w:rPr>
          <w:rFonts w:ascii="Times New Roman" w:hAnsi="Times New Roman" w:cs="Times New Roman"/>
          <w:sz w:val="24"/>
          <w:szCs w:val="24"/>
        </w:rPr>
        <w:t xml:space="preserve"> reference centile </w:t>
      </w:r>
      <w:proofErr w:type="spellStart"/>
      <w:r w:rsidRPr="00B53AC1">
        <w:rPr>
          <w:rFonts w:ascii="Times New Roman" w:hAnsi="Times New Roman" w:cs="Times New Roman"/>
          <w:sz w:val="24"/>
          <w:szCs w:val="24"/>
        </w:rPr>
        <w:t>curves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The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lms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method</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penalized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likelihood</w:t>
      </w:r>
      <w:proofErr w:type="spellEnd"/>
      <w:r w:rsidRPr="00B53AC1">
        <w:rPr>
          <w:rFonts w:ascii="Times New Roman" w:hAnsi="Times New Roman" w:cs="Times New Roman"/>
          <w:sz w:val="24"/>
          <w:szCs w:val="24"/>
        </w:rPr>
        <w:t xml:space="preserve">. </w:t>
      </w:r>
      <w:proofErr w:type="spellStart"/>
      <w:r w:rsidRPr="00B53AC1">
        <w:rPr>
          <w:rFonts w:ascii="Times New Roman" w:eastAsia="Times New Roman" w:hAnsi="Times New Roman" w:cs="Times New Roman"/>
          <w:i/>
          <w:sz w:val="24"/>
          <w:szCs w:val="24"/>
        </w:rPr>
        <w:t>Statistics</w:t>
      </w:r>
      <w:proofErr w:type="spellEnd"/>
      <w:r w:rsidRPr="00B53AC1">
        <w:rPr>
          <w:rFonts w:ascii="Times New Roman" w:eastAsia="Times New Roman" w:hAnsi="Times New Roman" w:cs="Times New Roman"/>
          <w:i/>
          <w:sz w:val="24"/>
          <w:szCs w:val="24"/>
        </w:rPr>
        <w:t xml:space="preserve"> in </w:t>
      </w:r>
      <w:proofErr w:type="spellStart"/>
      <w:r w:rsidRPr="00B53AC1">
        <w:rPr>
          <w:rFonts w:ascii="Times New Roman" w:eastAsia="Times New Roman" w:hAnsi="Times New Roman" w:cs="Times New Roman"/>
          <w:i/>
          <w:sz w:val="24"/>
          <w:szCs w:val="24"/>
        </w:rPr>
        <w:t>Medicine</w:t>
      </w:r>
      <w:proofErr w:type="spellEnd"/>
      <w:r w:rsidRPr="00B53AC1">
        <w:rPr>
          <w:rFonts w:ascii="Times New Roman" w:hAnsi="Times New Roman" w:cs="Times New Roman"/>
          <w:i/>
          <w:sz w:val="24"/>
          <w:szCs w:val="24"/>
        </w:rPr>
        <w:t xml:space="preserve"> 1, 1</w:t>
      </w:r>
      <w:r w:rsidRPr="00B53AC1">
        <w:rPr>
          <w:rFonts w:ascii="Times New Roman" w:hAnsi="Times New Roman" w:cs="Times New Roman"/>
          <w:sz w:val="24"/>
          <w:szCs w:val="24"/>
        </w:rPr>
        <w:t xml:space="preserve">(11), 1305–1319.  </w:t>
      </w:r>
    </w:p>
    <w:p w14:paraId="48888D89" w14:textId="77777777" w:rsidR="001A515A" w:rsidRPr="00B53AC1" w:rsidRDefault="001A515A" w:rsidP="00B53AC1">
      <w:pPr>
        <w:pStyle w:val="Bezmezer"/>
        <w:spacing w:line="276" w:lineRule="auto"/>
        <w:ind w:left="284" w:hanging="284"/>
        <w:jc w:val="both"/>
        <w:rPr>
          <w:rFonts w:ascii="Times New Roman" w:hAnsi="Times New Roman" w:cs="Times New Roman"/>
          <w:noProof/>
          <w:sz w:val="24"/>
          <w:szCs w:val="24"/>
        </w:rPr>
      </w:pPr>
      <w:r w:rsidRPr="00B53AC1">
        <w:rPr>
          <w:rFonts w:ascii="Times New Roman" w:hAnsi="Times New Roman" w:cs="Times New Roman"/>
          <w:noProof/>
          <w:sz w:val="24"/>
          <w:szCs w:val="24"/>
        </w:rPr>
        <w:t xml:space="preserve">Cole, T. J., &amp; Lobstein, T. (2012). Extended international (IOTF) body mass index cut-offs for thinness, overweight and obesity. </w:t>
      </w:r>
      <w:r w:rsidRPr="00B53AC1">
        <w:rPr>
          <w:rFonts w:ascii="Times New Roman" w:hAnsi="Times New Roman" w:cs="Times New Roman"/>
          <w:i/>
          <w:iCs/>
          <w:noProof/>
          <w:sz w:val="24"/>
          <w:szCs w:val="24"/>
        </w:rPr>
        <w:t>Pediatric Obesity</w:t>
      </w:r>
      <w:r w:rsidRPr="00B53AC1">
        <w:rPr>
          <w:rFonts w:ascii="Times New Roman" w:hAnsi="Times New Roman" w:cs="Times New Roman"/>
          <w:noProof/>
          <w:sz w:val="24"/>
          <w:szCs w:val="24"/>
        </w:rPr>
        <w:t xml:space="preserve">, </w:t>
      </w:r>
      <w:r w:rsidRPr="00B53AC1">
        <w:rPr>
          <w:rFonts w:ascii="Times New Roman" w:hAnsi="Times New Roman" w:cs="Times New Roman"/>
          <w:i/>
          <w:iCs/>
          <w:noProof/>
          <w:sz w:val="24"/>
          <w:szCs w:val="24"/>
        </w:rPr>
        <w:t>7</w:t>
      </w:r>
      <w:r w:rsidRPr="00B53AC1">
        <w:rPr>
          <w:rFonts w:ascii="Times New Roman" w:hAnsi="Times New Roman" w:cs="Times New Roman"/>
          <w:noProof/>
          <w:sz w:val="24"/>
          <w:szCs w:val="24"/>
        </w:rPr>
        <w:t xml:space="preserve">(4), 284–294. </w:t>
      </w:r>
      <w:proofErr w:type="spellStart"/>
      <w:r w:rsidRPr="00B53AC1">
        <w:rPr>
          <w:rFonts w:ascii="Times New Roman" w:hAnsi="Times New Roman" w:cs="Times New Roman"/>
          <w:color w:val="000000"/>
          <w:sz w:val="24"/>
          <w:szCs w:val="24"/>
          <w:shd w:val="clear" w:color="auto" w:fill="FFFFFF"/>
        </w:rPr>
        <w:t>doi</w:t>
      </w:r>
      <w:proofErr w:type="spellEnd"/>
      <w:r w:rsidRPr="00B53AC1">
        <w:rPr>
          <w:rFonts w:ascii="Times New Roman" w:hAnsi="Times New Roman" w:cs="Times New Roman"/>
          <w:color w:val="000000"/>
          <w:sz w:val="24"/>
          <w:szCs w:val="24"/>
          <w:shd w:val="clear" w:color="auto" w:fill="FFFFFF"/>
        </w:rPr>
        <w:t>: 10.1111/j.2047-6310.2012.00064</w:t>
      </w:r>
    </w:p>
    <w:p w14:paraId="39AA8A6D"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Cole</w:t>
      </w:r>
      <w:proofErr w:type="spellEnd"/>
      <w:r w:rsidRPr="00B53AC1">
        <w:rPr>
          <w:rFonts w:ascii="Times New Roman" w:hAnsi="Times New Roman" w:cs="Times New Roman"/>
          <w:sz w:val="24"/>
          <w:szCs w:val="24"/>
        </w:rPr>
        <w:t xml:space="preserve">, T. J., </w:t>
      </w:r>
      <w:proofErr w:type="spellStart"/>
      <w:r w:rsidRPr="00B53AC1">
        <w:rPr>
          <w:rFonts w:ascii="Times New Roman" w:hAnsi="Times New Roman" w:cs="Times New Roman"/>
          <w:sz w:val="24"/>
          <w:szCs w:val="24"/>
        </w:rPr>
        <w:t>Bellizzi</w:t>
      </w:r>
      <w:proofErr w:type="spellEnd"/>
      <w:r w:rsidRPr="00B53AC1">
        <w:rPr>
          <w:rFonts w:ascii="Times New Roman" w:hAnsi="Times New Roman" w:cs="Times New Roman"/>
          <w:sz w:val="24"/>
          <w:szCs w:val="24"/>
        </w:rPr>
        <w:t xml:space="preserve">, M. C., </w:t>
      </w:r>
      <w:proofErr w:type="spellStart"/>
      <w:r w:rsidRPr="00B53AC1">
        <w:rPr>
          <w:rFonts w:ascii="Times New Roman" w:hAnsi="Times New Roman" w:cs="Times New Roman"/>
          <w:sz w:val="24"/>
          <w:szCs w:val="24"/>
        </w:rPr>
        <w:t>Flegal</w:t>
      </w:r>
      <w:proofErr w:type="spellEnd"/>
      <w:r w:rsidRPr="00B53AC1">
        <w:rPr>
          <w:rFonts w:ascii="Times New Roman" w:hAnsi="Times New Roman" w:cs="Times New Roman"/>
          <w:sz w:val="24"/>
          <w:szCs w:val="24"/>
        </w:rPr>
        <w:t xml:space="preserve">, K. M., </w:t>
      </w:r>
      <w:proofErr w:type="spellStart"/>
      <w:r w:rsidRPr="00B53AC1">
        <w:rPr>
          <w:rFonts w:ascii="Times New Roman" w:hAnsi="Times New Roman" w:cs="Times New Roman"/>
          <w:sz w:val="24"/>
          <w:szCs w:val="24"/>
        </w:rPr>
        <w:t>Dietz</w:t>
      </w:r>
      <w:proofErr w:type="spellEnd"/>
      <w:r w:rsidRPr="00B53AC1">
        <w:rPr>
          <w:rFonts w:ascii="Times New Roman" w:hAnsi="Times New Roman" w:cs="Times New Roman"/>
          <w:sz w:val="24"/>
          <w:szCs w:val="24"/>
        </w:rPr>
        <w:t xml:space="preserve">, W. H. (2000). </w:t>
      </w:r>
      <w:proofErr w:type="spellStart"/>
      <w:r w:rsidRPr="00B53AC1">
        <w:rPr>
          <w:rFonts w:ascii="Times New Roman" w:hAnsi="Times New Roman" w:cs="Times New Roman"/>
          <w:sz w:val="24"/>
          <w:szCs w:val="24"/>
        </w:rPr>
        <w:t>Establishing</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atandard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definition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overweight</w:t>
      </w:r>
      <w:proofErr w:type="spellEnd"/>
      <w:r w:rsidRPr="00B53AC1">
        <w:rPr>
          <w:rFonts w:ascii="Times New Roman" w:hAnsi="Times New Roman" w:cs="Times New Roman"/>
          <w:sz w:val="24"/>
          <w:szCs w:val="24"/>
        </w:rPr>
        <w:t xml:space="preserve"> and obesity </w:t>
      </w:r>
      <w:proofErr w:type="spellStart"/>
      <w:r w:rsidRPr="00B53AC1">
        <w:rPr>
          <w:rFonts w:ascii="Times New Roman" w:hAnsi="Times New Roman" w:cs="Times New Roman"/>
          <w:sz w:val="24"/>
          <w:szCs w:val="24"/>
        </w:rPr>
        <w:t>worldwide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international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survey</w:t>
      </w:r>
      <w:proofErr w:type="spellEnd"/>
      <w:r w:rsidRPr="00B53AC1">
        <w:rPr>
          <w:rFonts w:ascii="Times New Roman" w:hAnsi="Times New Roman" w:cs="Times New Roman"/>
          <w:sz w:val="24"/>
          <w:szCs w:val="24"/>
        </w:rPr>
        <w:t xml:space="preserve">. </w:t>
      </w:r>
      <w:r w:rsidRPr="00B53AC1">
        <w:rPr>
          <w:rFonts w:ascii="Times New Roman" w:hAnsi="Times New Roman" w:cs="Times New Roman"/>
          <w:i/>
          <w:sz w:val="24"/>
          <w:szCs w:val="24"/>
        </w:rPr>
        <w:t>BMJ</w:t>
      </w:r>
      <w:r w:rsidRPr="00B53AC1">
        <w:rPr>
          <w:rFonts w:ascii="Times New Roman" w:hAnsi="Times New Roman" w:cs="Times New Roman"/>
          <w:sz w:val="24"/>
          <w:szCs w:val="24"/>
        </w:rPr>
        <w:t xml:space="preserve"> 320, 1240-1243.</w:t>
      </w:r>
    </w:p>
    <w:p w14:paraId="5E8D4047"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De </w:t>
      </w:r>
      <w:proofErr w:type="spellStart"/>
      <w:r w:rsidRPr="00B53AC1">
        <w:rPr>
          <w:rFonts w:ascii="Times New Roman" w:hAnsi="Times New Roman" w:cs="Times New Roman"/>
          <w:sz w:val="24"/>
          <w:szCs w:val="24"/>
        </w:rPr>
        <w:t>Onis</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Onyango</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Borghi</w:t>
      </w:r>
      <w:proofErr w:type="spellEnd"/>
      <w:r w:rsidRPr="00B53AC1">
        <w:rPr>
          <w:rFonts w:ascii="Times New Roman" w:hAnsi="Times New Roman" w:cs="Times New Roman"/>
          <w:sz w:val="24"/>
          <w:szCs w:val="24"/>
        </w:rPr>
        <w:t xml:space="preserve">, E., </w:t>
      </w:r>
      <w:proofErr w:type="spellStart"/>
      <w:r w:rsidRPr="00B53AC1">
        <w:rPr>
          <w:rFonts w:ascii="Times New Roman" w:hAnsi="Times New Roman" w:cs="Times New Roman"/>
          <w:sz w:val="24"/>
          <w:szCs w:val="24"/>
        </w:rPr>
        <w:t>Siyam</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Blössner</w:t>
      </w:r>
      <w:proofErr w:type="spellEnd"/>
      <w:r w:rsidRPr="00B53AC1">
        <w:rPr>
          <w:rFonts w:ascii="Times New Roman" w:hAnsi="Times New Roman" w:cs="Times New Roman"/>
          <w:sz w:val="24"/>
          <w:szCs w:val="24"/>
        </w:rPr>
        <w:t xml:space="preserve">, M., &amp; </w:t>
      </w:r>
      <w:proofErr w:type="spellStart"/>
      <w:r w:rsidRPr="00B53AC1">
        <w:rPr>
          <w:rFonts w:ascii="Times New Roman" w:hAnsi="Times New Roman" w:cs="Times New Roman"/>
          <w:sz w:val="24"/>
          <w:szCs w:val="24"/>
        </w:rPr>
        <w:t>Lutter</w:t>
      </w:r>
      <w:proofErr w:type="spellEnd"/>
      <w:r w:rsidRPr="00B53AC1">
        <w:rPr>
          <w:rFonts w:ascii="Times New Roman" w:hAnsi="Times New Roman" w:cs="Times New Roman"/>
          <w:sz w:val="24"/>
          <w:szCs w:val="24"/>
        </w:rPr>
        <w:t xml:space="preserve">, Ch. (2012). </w:t>
      </w:r>
      <w:proofErr w:type="spellStart"/>
      <w:r w:rsidRPr="00B53AC1">
        <w:rPr>
          <w:rFonts w:ascii="Times New Roman" w:hAnsi="Times New Roman" w:cs="Times New Roman"/>
          <w:sz w:val="24"/>
          <w:szCs w:val="24"/>
        </w:rPr>
        <w:t>Worldwide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implementation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the</w:t>
      </w:r>
      <w:proofErr w:type="spellEnd"/>
      <w:r w:rsidRPr="00B53AC1">
        <w:rPr>
          <w:rFonts w:ascii="Times New Roman" w:hAnsi="Times New Roman" w:cs="Times New Roman"/>
          <w:sz w:val="24"/>
          <w:szCs w:val="24"/>
        </w:rPr>
        <w:t xml:space="preserve"> WHO </w:t>
      </w:r>
      <w:proofErr w:type="spellStart"/>
      <w:r w:rsidRPr="00B53AC1">
        <w:rPr>
          <w:rFonts w:ascii="Times New Roman" w:hAnsi="Times New Roman" w:cs="Times New Roman"/>
          <w:sz w:val="24"/>
          <w:szCs w:val="24"/>
        </w:rPr>
        <w:t>Child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Standards</w:t>
      </w:r>
      <w:proofErr w:type="spellEnd"/>
      <w:r w:rsidRPr="00B53AC1">
        <w:rPr>
          <w:rFonts w:ascii="Times New Roman" w:hAnsi="Times New Roman" w:cs="Times New Roman"/>
          <w:sz w:val="24"/>
          <w:szCs w:val="24"/>
        </w:rPr>
        <w:t xml:space="preserve">. </w:t>
      </w:r>
      <w:r w:rsidRPr="00B53AC1">
        <w:rPr>
          <w:rFonts w:ascii="Times New Roman" w:eastAsia="Times New Roman" w:hAnsi="Times New Roman" w:cs="Times New Roman"/>
          <w:i/>
          <w:sz w:val="24"/>
          <w:szCs w:val="24"/>
        </w:rPr>
        <w:t xml:space="preserve">Public </w:t>
      </w:r>
      <w:proofErr w:type="spellStart"/>
      <w:r w:rsidRPr="00B53AC1">
        <w:rPr>
          <w:rFonts w:ascii="Times New Roman" w:eastAsia="Times New Roman" w:hAnsi="Times New Roman" w:cs="Times New Roman"/>
          <w:i/>
          <w:sz w:val="24"/>
          <w:szCs w:val="24"/>
        </w:rPr>
        <w:t>Health</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Nutrition</w:t>
      </w:r>
      <w:proofErr w:type="spellEnd"/>
      <w:r w:rsidRPr="00B53AC1">
        <w:rPr>
          <w:rFonts w:ascii="Times New Roman" w:hAnsi="Times New Roman" w:cs="Times New Roman"/>
          <w:i/>
          <w:sz w:val="24"/>
          <w:szCs w:val="24"/>
        </w:rPr>
        <w:t>, 15</w:t>
      </w:r>
      <w:r w:rsidRPr="00B53AC1">
        <w:rPr>
          <w:rFonts w:ascii="Times New Roman" w:hAnsi="Times New Roman" w:cs="Times New Roman"/>
          <w:sz w:val="24"/>
          <w:szCs w:val="24"/>
        </w:rPr>
        <w:t xml:space="preserve">(09), 1603–1610.  </w:t>
      </w:r>
    </w:p>
    <w:p w14:paraId="6BE7C4F9"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Fornetti</w:t>
      </w:r>
      <w:proofErr w:type="spellEnd"/>
      <w:r w:rsidRPr="00B53AC1">
        <w:rPr>
          <w:rFonts w:ascii="Times New Roman" w:hAnsi="Times New Roman" w:cs="Times New Roman"/>
          <w:sz w:val="24"/>
          <w:szCs w:val="24"/>
        </w:rPr>
        <w:t xml:space="preserve">, W. C., </w:t>
      </w:r>
      <w:proofErr w:type="spellStart"/>
      <w:r w:rsidRPr="00B53AC1">
        <w:rPr>
          <w:rFonts w:ascii="Times New Roman" w:hAnsi="Times New Roman" w:cs="Times New Roman"/>
          <w:sz w:val="24"/>
          <w:szCs w:val="24"/>
        </w:rPr>
        <w:t>Pivarnik</w:t>
      </w:r>
      <w:proofErr w:type="spellEnd"/>
      <w:r w:rsidRPr="00B53AC1">
        <w:rPr>
          <w:rFonts w:ascii="Times New Roman" w:hAnsi="Times New Roman" w:cs="Times New Roman"/>
          <w:sz w:val="24"/>
          <w:szCs w:val="24"/>
        </w:rPr>
        <w:t xml:space="preserve">, J. M., </w:t>
      </w:r>
      <w:proofErr w:type="spellStart"/>
      <w:r w:rsidRPr="00B53AC1">
        <w:rPr>
          <w:rFonts w:ascii="Times New Roman" w:hAnsi="Times New Roman" w:cs="Times New Roman"/>
          <w:sz w:val="24"/>
          <w:szCs w:val="24"/>
        </w:rPr>
        <w:t>Foley</w:t>
      </w:r>
      <w:proofErr w:type="spellEnd"/>
      <w:r w:rsidRPr="00B53AC1">
        <w:rPr>
          <w:rFonts w:ascii="Times New Roman" w:hAnsi="Times New Roman" w:cs="Times New Roman"/>
          <w:sz w:val="24"/>
          <w:szCs w:val="24"/>
        </w:rPr>
        <w:t xml:space="preserve">, J. M., &amp; </w:t>
      </w:r>
      <w:proofErr w:type="spellStart"/>
      <w:r w:rsidRPr="00B53AC1">
        <w:rPr>
          <w:rFonts w:ascii="Times New Roman" w:hAnsi="Times New Roman" w:cs="Times New Roman"/>
          <w:sz w:val="24"/>
          <w:szCs w:val="24"/>
        </w:rPr>
        <w:t>Fiechtner</w:t>
      </w:r>
      <w:proofErr w:type="spellEnd"/>
      <w:r w:rsidRPr="00B53AC1">
        <w:rPr>
          <w:rFonts w:ascii="Times New Roman" w:hAnsi="Times New Roman" w:cs="Times New Roman"/>
          <w:sz w:val="24"/>
          <w:szCs w:val="24"/>
        </w:rPr>
        <w:t xml:space="preserve">, J. J. (1999). Reliability and validity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body </w:t>
      </w:r>
      <w:proofErr w:type="spellStart"/>
      <w:r w:rsidRPr="00B53AC1">
        <w:rPr>
          <w:rFonts w:ascii="Times New Roman" w:hAnsi="Times New Roman" w:cs="Times New Roman"/>
          <w:sz w:val="24"/>
          <w:szCs w:val="24"/>
        </w:rPr>
        <w:t>composition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measures</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female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athletes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i/>
          <w:sz w:val="24"/>
          <w:szCs w:val="24"/>
        </w:rPr>
        <w:t>Journal</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of</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Applied</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Physiology</w:t>
      </w:r>
      <w:proofErr w:type="spellEnd"/>
      <w:r w:rsidRPr="00B53AC1">
        <w:rPr>
          <w:rFonts w:ascii="Times New Roman" w:hAnsi="Times New Roman" w:cs="Times New Roman"/>
          <w:i/>
          <w:sz w:val="24"/>
          <w:szCs w:val="24"/>
        </w:rPr>
        <w:t>, 87</w:t>
      </w:r>
      <w:r w:rsidRPr="00B53AC1">
        <w:rPr>
          <w:rFonts w:ascii="Times New Roman" w:hAnsi="Times New Roman" w:cs="Times New Roman"/>
          <w:sz w:val="24"/>
          <w:szCs w:val="24"/>
        </w:rPr>
        <w:t>(3), 1114-1122.</w:t>
      </w:r>
    </w:p>
    <w:p w14:paraId="357C74DA" w14:textId="77777777" w:rsidR="001A515A" w:rsidRPr="00B53AC1" w:rsidRDefault="001A515A" w:rsidP="00B53AC1">
      <w:pPr>
        <w:pStyle w:val="Bezmezer"/>
        <w:spacing w:line="276" w:lineRule="auto"/>
        <w:ind w:left="284" w:hanging="284"/>
        <w:jc w:val="both"/>
        <w:rPr>
          <w:rFonts w:ascii="Times New Roman" w:hAnsi="Times New Roman" w:cs="Times New Roman"/>
          <w:noProof/>
          <w:sz w:val="24"/>
          <w:szCs w:val="24"/>
        </w:rPr>
      </w:pPr>
      <w:r w:rsidRPr="00B53AC1">
        <w:rPr>
          <w:rFonts w:ascii="Times New Roman" w:hAnsi="Times New Roman" w:cs="Times New Roman"/>
          <w:sz w:val="24"/>
          <w:szCs w:val="24"/>
          <w:shd w:val="clear" w:color="auto" w:fill="FFFFFF"/>
        </w:rPr>
        <w:t xml:space="preserve">Gába, A., &amp; Přidalová, M. (2015). </w:t>
      </w:r>
      <w:proofErr w:type="spellStart"/>
      <w:r w:rsidRPr="00B53AC1">
        <w:rPr>
          <w:rFonts w:ascii="Times New Roman" w:hAnsi="Times New Roman" w:cs="Times New Roman"/>
          <w:sz w:val="24"/>
          <w:szCs w:val="24"/>
          <w:shd w:val="clear" w:color="auto" w:fill="FFFFFF"/>
        </w:rPr>
        <w:t>Diagnostic</w:t>
      </w:r>
      <w:proofErr w:type="spellEnd"/>
      <w:r w:rsidRPr="00B53AC1">
        <w:rPr>
          <w:rFonts w:ascii="Times New Roman" w:hAnsi="Times New Roman" w:cs="Times New Roman"/>
          <w:sz w:val="24"/>
          <w:szCs w:val="24"/>
          <w:shd w:val="clear" w:color="auto" w:fill="FFFFFF"/>
        </w:rPr>
        <w:t xml:space="preserve"> performance </w:t>
      </w:r>
      <w:proofErr w:type="spellStart"/>
      <w:r w:rsidRPr="00B53AC1">
        <w:rPr>
          <w:rFonts w:ascii="Times New Roman" w:hAnsi="Times New Roman" w:cs="Times New Roman"/>
          <w:sz w:val="24"/>
          <w:szCs w:val="24"/>
          <w:shd w:val="clear" w:color="auto" w:fill="FFFFFF"/>
        </w:rPr>
        <w:t>of</w:t>
      </w:r>
      <w:proofErr w:type="spellEnd"/>
      <w:r w:rsidRPr="00B53AC1">
        <w:rPr>
          <w:rFonts w:ascii="Times New Roman" w:hAnsi="Times New Roman" w:cs="Times New Roman"/>
          <w:sz w:val="24"/>
          <w:szCs w:val="24"/>
          <w:shd w:val="clear" w:color="auto" w:fill="FFFFFF"/>
        </w:rPr>
        <w:t xml:space="preserve"> body </w:t>
      </w:r>
      <w:proofErr w:type="spellStart"/>
      <w:r w:rsidRPr="00B53AC1">
        <w:rPr>
          <w:rFonts w:ascii="Times New Roman" w:hAnsi="Times New Roman" w:cs="Times New Roman"/>
          <w:sz w:val="24"/>
          <w:szCs w:val="24"/>
          <w:shd w:val="clear" w:color="auto" w:fill="FFFFFF"/>
        </w:rPr>
        <w:t>mass</w:t>
      </w:r>
      <w:proofErr w:type="spellEnd"/>
      <w:r w:rsidRPr="00B53AC1">
        <w:rPr>
          <w:rFonts w:ascii="Times New Roman" w:hAnsi="Times New Roman" w:cs="Times New Roman"/>
          <w:sz w:val="24"/>
          <w:szCs w:val="24"/>
          <w:shd w:val="clear" w:color="auto" w:fill="FFFFFF"/>
        </w:rPr>
        <w:t xml:space="preserve"> index to </w:t>
      </w:r>
      <w:proofErr w:type="spellStart"/>
      <w:r w:rsidRPr="00B53AC1">
        <w:rPr>
          <w:rFonts w:ascii="Times New Roman" w:hAnsi="Times New Roman" w:cs="Times New Roman"/>
          <w:sz w:val="24"/>
          <w:szCs w:val="24"/>
          <w:shd w:val="clear" w:color="auto" w:fill="FFFFFF"/>
        </w:rPr>
        <w:t>identify</w:t>
      </w:r>
      <w:proofErr w:type="spellEnd"/>
      <w:r w:rsidRPr="00B53AC1">
        <w:rPr>
          <w:rFonts w:ascii="Times New Roman" w:hAnsi="Times New Roman" w:cs="Times New Roman"/>
          <w:sz w:val="24"/>
          <w:szCs w:val="24"/>
          <w:shd w:val="clear" w:color="auto" w:fill="FFFFFF"/>
        </w:rPr>
        <w:t xml:space="preserve"> adipozity in </w:t>
      </w:r>
      <w:proofErr w:type="spellStart"/>
      <w:r w:rsidRPr="00B53AC1">
        <w:rPr>
          <w:rFonts w:ascii="Times New Roman" w:hAnsi="Times New Roman" w:cs="Times New Roman"/>
          <w:sz w:val="24"/>
          <w:szCs w:val="24"/>
          <w:shd w:val="clear" w:color="auto" w:fill="FFFFFF"/>
        </w:rPr>
        <w:t>women</w:t>
      </w:r>
      <w:proofErr w:type="spellEnd"/>
      <w:r w:rsidRPr="00B53AC1">
        <w:rPr>
          <w:rFonts w:ascii="Times New Roman" w:hAnsi="Times New Roman" w:cs="Times New Roman"/>
          <w:sz w:val="24"/>
          <w:szCs w:val="24"/>
          <w:shd w:val="clear" w:color="auto" w:fill="FFFFFF"/>
        </w:rPr>
        <w:t xml:space="preserve">. </w:t>
      </w:r>
      <w:r w:rsidRPr="00B53AC1">
        <w:rPr>
          <w:rFonts w:ascii="Times New Roman" w:hAnsi="Times New Roman" w:cs="Times New Roman"/>
          <w:i/>
          <w:sz w:val="24"/>
          <w:szCs w:val="24"/>
          <w:shd w:val="clear" w:color="auto" w:fill="FFFFFF"/>
        </w:rPr>
        <w:t xml:space="preserve">Eur J </w:t>
      </w:r>
      <w:proofErr w:type="spellStart"/>
      <w:r w:rsidRPr="00B53AC1">
        <w:rPr>
          <w:rFonts w:ascii="Times New Roman" w:hAnsi="Times New Roman" w:cs="Times New Roman"/>
          <w:i/>
          <w:sz w:val="24"/>
          <w:szCs w:val="24"/>
          <w:shd w:val="clear" w:color="auto" w:fill="FFFFFF"/>
        </w:rPr>
        <w:t>Clin</w:t>
      </w:r>
      <w:proofErr w:type="spellEnd"/>
      <w:r w:rsidRPr="00B53AC1">
        <w:rPr>
          <w:rFonts w:ascii="Times New Roman" w:hAnsi="Times New Roman" w:cs="Times New Roman"/>
          <w:i/>
          <w:sz w:val="24"/>
          <w:szCs w:val="24"/>
          <w:shd w:val="clear" w:color="auto" w:fill="FFFFFF"/>
        </w:rPr>
        <w:t xml:space="preserve"> </w:t>
      </w:r>
      <w:proofErr w:type="spellStart"/>
      <w:r w:rsidRPr="00B53AC1">
        <w:rPr>
          <w:rFonts w:ascii="Times New Roman" w:hAnsi="Times New Roman" w:cs="Times New Roman"/>
          <w:i/>
          <w:sz w:val="24"/>
          <w:szCs w:val="24"/>
          <w:shd w:val="clear" w:color="auto" w:fill="FFFFFF"/>
        </w:rPr>
        <w:t>Nutr</w:t>
      </w:r>
      <w:proofErr w:type="spellEnd"/>
      <w:r w:rsidRPr="00B53AC1">
        <w:rPr>
          <w:rFonts w:ascii="Times New Roman" w:hAnsi="Times New Roman" w:cs="Times New Roman"/>
          <w:sz w:val="24"/>
          <w:szCs w:val="24"/>
          <w:shd w:val="clear" w:color="auto" w:fill="FFFFFF"/>
        </w:rPr>
        <w:t>, 1</w:t>
      </w:r>
      <w:r w:rsidRPr="00B53AC1">
        <w:rPr>
          <w:rFonts w:ascii="Times New Roman" w:hAnsi="Times New Roman" w:cs="Times New Roman"/>
          <w:noProof/>
          <w:sz w:val="24"/>
          <w:szCs w:val="24"/>
        </w:rPr>
        <w:t>–</w:t>
      </w:r>
      <w:r w:rsidRPr="00B53AC1">
        <w:rPr>
          <w:rFonts w:ascii="Times New Roman" w:hAnsi="Times New Roman" w:cs="Times New Roman"/>
          <w:sz w:val="24"/>
          <w:szCs w:val="24"/>
          <w:shd w:val="clear" w:color="auto" w:fill="FFFFFF"/>
        </w:rPr>
        <w:t xml:space="preserve">6. </w:t>
      </w:r>
    </w:p>
    <w:p w14:paraId="029B945C"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Gibson</w:t>
      </w:r>
      <w:proofErr w:type="spellEnd"/>
      <w:r w:rsidRPr="00B53AC1">
        <w:rPr>
          <w:rFonts w:ascii="Times New Roman" w:hAnsi="Times New Roman" w:cs="Times New Roman"/>
          <w:sz w:val="24"/>
          <w:szCs w:val="24"/>
        </w:rPr>
        <w:t xml:space="preserve">, A., Holmes, J., </w:t>
      </w:r>
      <w:proofErr w:type="spellStart"/>
      <w:r w:rsidRPr="00B53AC1">
        <w:rPr>
          <w:rFonts w:ascii="Times New Roman" w:hAnsi="Times New Roman" w:cs="Times New Roman"/>
          <w:sz w:val="24"/>
          <w:szCs w:val="24"/>
        </w:rPr>
        <w:t>Desautels</w:t>
      </w:r>
      <w:proofErr w:type="spellEnd"/>
      <w:r w:rsidRPr="00B53AC1">
        <w:rPr>
          <w:rFonts w:ascii="Times New Roman" w:hAnsi="Times New Roman" w:cs="Times New Roman"/>
          <w:sz w:val="24"/>
          <w:szCs w:val="24"/>
        </w:rPr>
        <w:t xml:space="preserve">, R., </w:t>
      </w:r>
      <w:proofErr w:type="spellStart"/>
      <w:r w:rsidRPr="00B53AC1">
        <w:rPr>
          <w:rFonts w:ascii="Times New Roman" w:hAnsi="Times New Roman" w:cs="Times New Roman"/>
          <w:sz w:val="24"/>
          <w:szCs w:val="24"/>
        </w:rPr>
        <w:t>Edmonds</w:t>
      </w:r>
      <w:proofErr w:type="spellEnd"/>
      <w:r w:rsidRPr="00B53AC1">
        <w:rPr>
          <w:rFonts w:ascii="Times New Roman" w:hAnsi="Times New Roman" w:cs="Times New Roman"/>
          <w:sz w:val="24"/>
          <w:szCs w:val="24"/>
        </w:rPr>
        <w:t xml:space="preserve">, L., &amp; </w:t>
      </w:r>
      <w:proofErr w:type="spellStart"/>
      <w:r w:rsidRPr="00B53AC1">
        <w:rPr>
          <w:rFonts w:ascii="Times New Roman" w:hAnsi="Times New Roman" w:cs="Times New Roman"/>
          <w:sz w:val="24"/>
          <w:szCs w:val="24"/>
        </w:rPr>
        <w:t>Nuudi</w:t>
      </w:r>
      <w:proofErr w:type="spellEnd"/>
      <w:r w:rsidRPr="00B53AC1">
        <w:rPr>
          <w:rFonts w:ascii="Times New Roman" w:hAnsi="Times New Roman" w:cs="Times New Roman"/>
          <w:sz w:val="24"/>
          <w:szCs w:val="24"/>
        </w:rPr>
        <w:t xml:space="preserve">, L. (2008). </w:t>
      </w:r>
      <w:proofErr w:type="spellStart"/>
      <w:r w:rsidRPr="00B53AC1">
        <w:rPr>
          <w:rFonts w:ascii="Times New Roman" w:hAnsi="Times New Roman" w:cs="Times New Roman"/>
          <w:sz w:val="24"/>
          <w:szCs w:val="24"/>
        </w:rPr>
        <w:t>Ability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new</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octapolar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bioimpedance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spectroscopy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analyzers</w:t>
      </w:r>
      <w:proofErr w:type="spellEnd"/>
      <w:r w:rsidRPr="00B53AC1">
        <w:rPr>
          <w:rFonts w:ascii="Times New Roman" w:hAnsi="Times New Roman" w:cs="Times New Roman"/>
          <w:sz w:val="24"/>
          <w:szCs w:val="24"/>
        </w:rPr>
        <w:t xml:space="preserve"> to </w:t>
      </w:r>
      <w:proofErr w:type="spellStart"/>
      <w:r w:rsidRPr="00B53AC1">
        <w:rPr>
          <w:rFonts w:ascii="Times New Roman" w:hAnsi="Times New Roman" w:cs="Times New Roman"/>
          <w:sz w:val="24"/>
          <w:szCs w:val="24"/>
        </w:rPr>
        <w:t>predict</w:t>
      </w:r>
      <w:proofErr w:type="spellEnd"/>
      <w:r w:rsidRPr="00B53AC1">
        <w:rPr>
          <w:rFonts w:ascii="Times New Roman" w:hAnsi="Times New Roman" w:cs="Times New Roman"/>
          <w:sz w:val="24"/>
          <w:szCs w:val="24"/>
        </w:rPr>
        <w:t xml:space="preserve"> 4–</w:t>
      </w:r>
      <w:proofErr w:type="spellStart"/>
      <w:r w:rsidRPr="00B53AC1">
        <w:rPr>
          <w:rFonts w:ascii="Times New Roman" w:hAnsi="Times New Roman" w:cs="Times New Roman"/>
          <w:sz w:val="24"/>
          <w:szCs w:val="24"/>
        </w:rPr>
        <w:t>componentmodel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percentage</w:t>
      </w:r>
      <w:proofErr w:type="spellEnd"/>
      <w:r w:rsidRPr="00B53AC1">
        <w:rPr>
          <w:rFonts w:ascii="Times New Roman" w:hAnsi="Times New Roman" w:cs="Times New Roman"/>
          <w:sz w:val="24"/>
          <w:szCs w:val="24"/>
        </w:rPr>
        <w:t xml:space="preserve"> body fat in </w:t>
      </w:r>
      <w:proofErr w:type="spellStart"/>
      <w:r w:rsidRPr="00B53AC1">
        <w:rPr>
          <w:rFonts w:ascii="Times New Roman" w:hAnsi="Times New Roman" w:cs="Times New Roman"/>
          <w:sz w:val="24"/>
          <w:szCs w:val="24"/>
        </w:rPr>
        <w:t>Hispanic</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black</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white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adults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i/>
          <w:sz w:val="24"/>
          <w:szCs w:val="24"/>
        </w:rPr>
        <w:t>American</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Journal</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of</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Clinical</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Nutrition</w:t>
      </w:r>
      <w:proofErr w:type="spellEnd"/>
      <w:r w:rsidRPr="00B53AC1">
        <w:rPr>
          <w:rFonts w:ascii="Times New Roman" w:hAnsi="Times New Roman" w:cs="Times New Roman"/>
          <w:i/>
          <w:sz w:val="24"/>
          <w:szCs w:val="24"/>
        </w:rPr>
        <w:t>, 87</w:t>
      </w:r>
      <w:r w:rsidRPr="00B53AC1">
        <w:rPr>
          <w:rFonts w:ascii="Times New Roman" w:hAnsi="Times New Roman" w:cs="Times New Roman"/>
          <w:sz w:val="24"/>
          <w:szCs w:val="24"/>
        </w:rPr>
        <w:t>(2), 332-338.</w:t>
      </w:r>
    </w:p>
    <w:p w14:paraId="259733A3"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Hattori</w:t>
      </w:r>
      <w:proofErr w:type="spellEnd"/>
      <w:r w:rsidRPr="00B53AC1">
        <w:rPr>
          <w:rFonts w:ascii="Times New Roman" w:hAnsi="Times New Roman" w:cs="Times New Roman"/>
          <w:sz w:val="24"/>
          <w:szCs w:val="24"/>
        </w:rPr>
        <w:t xml:space="preserve">, K., </w:t>
      </w:r>
      <w:proofErr w:type="spellStart"/>
      <w:r w:rsidRPr="00B53AC1">
        <w:rPr>
          <w:rFonts w:ascii="Times New Roman" w:hAnsi="Times New Roman" w:cs="Times New Roman"/>
          <w:sz w:val="24"/>
          <w:szCs w:val="24"/>
        </w:rPr>
        <w:t>Tatsumi</w:t>
      </w:r>
      <w:proofErr w:type="spellEnd"/>
      <w:r w:rsidRPr="00B53AC1">
        <w:rPr>
          <w:rFonts w:ascii="Times New Roman" w:hAnsi="Times New Roman" w:cs="Times New Roman"/>
          <w:sz w:val="24"/>
          <w:szCs w:val="24"/>
        </w:rPr>
        <w:t xml:space="preserve">, N., </w:t>
      </w:r>
      <w:r w:rsidRPr="00B53AC1">
        <w:rPr>
          <w:rFonts w:ascii="Times New Roman" w:hAnsi="Times New Roman" w:cs="Times New Roman"/>
          <w:sz w:val="24"/>
          <w:szCs w:val="24"/>
          <w:lang w:val="en-US"/>
        </w:rPr>
        <w:t xml:space="preserve">&amp; </w:t>
      </w:r>
      <w:proofErr w:type="spellStart"/>
      <w:r w:rsidRPr="00B53AC1">
        <w:rPr>
          <w:rFonts w:ascii="Times New Roman" w:hAnsi="Times New Roman" w:cs="Times New Roman"/>
          <w:sz w:val="24"/>
          <w:szCs w:val="24"/>
        </w:rPr>
        <w:t>Tanaka</w:t>
      </w:r>
      <w:proofErr w:type="spellEnd"/>
      <w:r w:rsidRPr="00B53AC1">
        <w:rPr>
          <w:rFonts w:ascii="Times New Roman" w:hAnsi="Times New Roman" w:cs="Times New Roman"/>
          <w:sz w:val="24"/>
          <w:szCs w:val="24"/>
        </w:rPr>
        <w:t xml:space="preserve">, S. (1997). </w:t>
      </w:r>
      <w:proofErr w:type="spellStart"/>
      <w:r w:rsidRPr="00B53AC1">
        <w:rPr>
          <w:rFonts w:ascii="Times New Roman" w:hAnsi="Times New Roman" w:cs="Times New Roman"/>
          <w:sz w:val="24"/>
          <w:szCs w:val="24"/>
        </w:rPr>
        <w:t>Assessment</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body </w:t>
      </w:r>
      <w:proofErr w:type="spellStart"/>
      <w:r w:rsidRPr="00B53AC1">
        <w:rPr>
          <w:rFonts w:ascii="Times New Roman" w:hAnsi="Times New Roman" w:cs="Times New Roman"/>
          <w:sz w:val="24"/>
          <w:szCs w:val="24"/>
        </w:rPr>
        <w:t>composition</w:t>
      </w:r>
      <w:proofErr w:type="spellEnd"/>
      <w:r w:rsidRPr="00B53AC1">
        <w:rPr>
          <w:rFonts w:ascii="Times New Roman" w:hAnsi="Times New Roman" w:cs="Times New Roman"/>
          <w:sz w:val="24"/>
          <w:szCs w:val="24"/>
        </w:rPr>
        <w:t xml:space="preserve"> by </w:t>
      </w:r>
      <w:proofErr w:type="spellStart"/>
      <w:r w:rsidRPr="00B53AC1">
        <w:rPr>
          <w:rFonts w:ascii="Times New Roman" w:hAnsi="Times New Roman" w:cs="Times New Roman"/>
          <w:sz w:val="24"/>
          <w:szCs w:val="24"/>
        </w:rPr>
        <w:t>using</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new</w:t>
      </w:r>
      <w:proofErr w:type="spellEnd"/>
      <w:r w:rsidRPr="00B53AC1">
        <w:rPr>
          <w:rFonts w:ascii="Times New Roman" w:hAnsi="Times New Roman" w:cs="Times New Roman"/>
          <w:sz w:val="24"/>
          <w:szCs w:val="24"/>
        </w:rPr>
        <w:t xml:space="preserve"> chart </w:t>
      </w:r>
      <w:proofErr w:type="spellStart"/>
      <w:r w:rsidRPr="00B53AC1">
        <w:rPr>
          <w:rFonts w:ascii="Times New Roman" w:hAnsi="Times New Roman" w:cs="Times New Roman"/>
          <w:sz w:val="24"/>
          <w:szCs w:val="24"/>
        </w:rPr>
        <w:t>method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i/>
          <w:sz w:val="24"/>
          <w:szCs w:val="24"/>
        </w:rPr>
        <w:t>Am</w:t>
      </w:r>
      <w:proofErr w:type="spellEnd"/>
      <w:r w:rsidRPr="00B53AC1">
        <w:rPr>
          <w:rFonts w:ascii="Times New Roman" w:hAnsi="Times New Roman" w:cs="Times New Roman"/>
          <w:i/>
          <w:sz w:val="24"/>
          <w:szCs w:val="24"/>
        </w:rPr>
        <w:t xml:space="preserve"> J </w:t>
      </w:r>
      <w:proofErr w:type="spellStart"/>
      <w:r w:rsidRPr="00B53AC1">
        <w:rPr>
          <w:rFonts w:ascii="Times New Roman" w:hAnsi="Times New Roman" w:cs="Times New Roman"/>
          <w:i/>
          <w:sz w:val="24"/>
          <w:szCs w:val="24"/>
        </w:rPr>
        <w:t>Hum</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Biol</w:t>
      </w:r>
      <w:proofErr w:type="spellEnd"/>
      <w:r w:rsidRPr="00B53AC1">
        <w:rPr>
          <w:rFonts w:ascii="Times New Roman" w:hAnsi="Times New Roman" w:cs="Times New Roman"/>
          <w:i/>
          <w:sz w:val="24"/>
          <w:szCs w:val="24"/>
        </w:rPr>
        <w:t>, 9</w:t>
      </w:r>
      <w:r w:rsidRPr="00B53AC1">
        <w:rPr>
          <w:rFonts w:ascii="Times New Roman" w:hAnsi="Times New Roman" w:cs="Times New Roman"/>
          <w:sz w:val="24"/>
          <w:szCs w:val="24"/>
        </w:rPr>
        <w:t>, 573</w:t>
      </w:r>
      <w:r w:rsidRPr="00B53AC1">
        <w:rPr>
          <w:rFonts w:ascii="Times New Roman" w:hAnsi="Times New Roman" w:cs="Times New Roman"/>
          <w:noProof/>
          <w:sz w:val="24"/>
          <w:szCs w:val="24"/>
        </w:rPr>
        <w:t>–</w:t>
      </w:r>
      <w:r w:rsidRPr="00B53AC1">
        <w:rPr>
          <w:rFonts w:ascii="Times New Roman" w:hAnsi="Times New Roman" w:cs="Times New Roman"/>
          <w:sz w:val="24"/>
          <w:szCs w:val="24"/>
        </w:rPr>
        <w:t>578.</w:t>
      </w:r>
    </w:p>
    <w:p w14:paraId="34A4C01F"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Hermanussen</w:t>
      </w:r>
      <w:proofErr w:type="spellEnd"/>
      <w:r w:rsidRPr="00B53AC1">
        <w:rPr>
          <w:rFonts w:ascii="Times New Roman" w:hAnsi="Times New Roman" w:cs="Times New Roman"/>
          <w:sz w:val="24"/>
          <w:szCs w:val="24"/>
        </w:rPr>
        <w:t xml:space="preserve">, M. (2013). </w:t>
      </w:r>
      <w:proofErr w:type="spellStart"/>
      <w:r w:rsidRPr="00B53AC1">
        <w:rPr>
          <w:rFonts w:ascii="Times New Roman" w:hAnsi="Times New Roman" w:cs="Times New Roman"/>
          <w:i/>
          <w:sz w:val="24"/>
          <w:szCs w:val="24"/>
        </w:rPr>
        <w:t>Auxology</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Studying</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human</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growth</w:t>
      </w:r>
      <w:proofErr w:type="spellEnd"/>
      <w:r w:rsidRPr="00B53AC1">
        <w:rPr>
          <w:rFonts w:ascii="Times New Roman" w:hAnsi="Times New Roman" w:cs="Times New Roman"/>
          <w:i/>
          <w:sz w:val="24"/>
          <w:szCs w:val="24"/>
        </w:rPr>
        <w:t xml:space="preserve"> and development.</w:t>
      </w:r>
      <w:r w:rsidRPr="00B53AC1">
        <w:rPr>
          <w:rFonts w:ascii="Times New Roman" w:hAnsi="Times New Roman" w:cs="Times New Roman"/>
          <w:sz w:val="24"/>
          <w:szCs w:val="24"/>
        </w:rPr>
        <w:t xml:space="preserve"> Stuttgart: </w:t>
      </w:r>
      <w:proofErr w:type="spellStart"/>
      <w:r w:rsidRPr="00B53AC1">
        <w:rPr>
          <w:rFonts w:ascii="Times New Roman" w:hAnsi="Times New Roman" w:cs="Times New Roman"/>
          <w:sz w:val="24"/>
          <w:szCs w:val="24"/>
        </w:rPr>
        <w:t>Schweizerbart</w:t>
      </w:r>
      <w:proofErr w:type="spellEnd"/>
      <w:r w:rsidRPr="00B53AC1">
        <w:rPr>
          <w:rFonts w:ascii="Times New Roman" w:hAnsi="Times New Roman" w:cs="Times New Roman"/>
          <w:sz w:val="24"/>
          <w:szCs w:val="24"/>
        </w:rPr>
        <w:t xml:space="preserve"> Science </w:t>
      </w:r>
      <w:proofErr w:type="spellStart"/>
      <w:r w:rsidRPr="00B53AC1">
        <w:rPr>
          <w:rFonts w:ascii="Times New Roman" w:hAnsi="Times New Roman" w:cs="Times New Roman"/>
          <w:sz w:val="24"/>
          <w:szCs w:val="24"/>
        </w:rPr>
        <w:t>Publishers</w:t>
      </w:r>
      <w:proofErr w:type="spellEnd"/>
      <w:r w:rsidRPr="00B53AC1">
        <w:rPr>
          <w:rFonts w:ascii="Times New Roman" w:hAnsi="Times New Roman" w:cs="Times New Roman"/>
          <w:sz w:val="24"/>
          <w:szCs w:val="24"/>
        </w:rPr>
        <w:t>.</w:t>
      </w:r>
    </w:p>
    <w:p w14:paraId="2F6B2FD1" w14:textId="77777777" w:rsidR="001A515A" w:rsidRPr="00B53AC1" w:rsidRDefault="001A515A" w:rsidP="00B53AC1">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Kuczmarski</w:t>
      </w:r>
      <w:proofErr w:type="spellEnd"/>
      <w:r w:rsidRPr="00B53AC1">
        <w:rPr>
          <w:rFonts w:ascii="Times New Roman" w:hAnsi="Times New Roman" w:cs="Times New Roman"/>
          <w:sz w:val="24"/>
          <w:szCs w:val="24"/>
        </w:rPr>
        <w:t xml:space="preserve">, R. J., </w:t>
      </w:r>
      <w:proofErr w:type="spellStart"/>
      <w:r w:rsidRPr="00B53AC1">
        <w:rPr>
          <w:rFonts w:ascii="Times New Roman" w:hAnsi="Times New Roman" w:cs="Times New Roman"/>
          <w:sz w:val="24"/>
          <w:szCs w:val="24"/>
        </w:rPr>
        <w:t>Ogden</w:t>
      </w:r>
      <w:proofErr w:type="spellEnd"/>
      <w:r w:rsidRPr="00B53AC1">
        <w:rPr>
          <w:rFonts w:ascii="Times New Roman" w:hAnsi="Times New Roman" w:cs="Times New Roman"/>
          <w:sz w:val="24"/>
          <w:szCs w:val="24"/>
        </w:rPr>
        <w:t xml:space="preserve">, C. L., </w:t>
      </w:r>
      <w:proofErr w:type="spellStart"/>
      <w:r w:rsidRPr="00B53AC1">
        <w:rPr>
          <w:rFonts w:ascii="Times New Roman" w:hAnsi="Times New Roman" w:cs="Times New Roman"/>
          <w:sz w:val="24"/>
          <w:szCs w:val="24"/>
        </w:rPr>
        <w:t>Grummer-Strawn</w:t>
      </w:r>
      <w:proofErr w:type="spellEnd"/>
      <w:r w:rsidRPr="00B53AC1">
        <w:rPr>
          <w:rFonts w:ascii="Times New Roman" w:hAnsi="Times New Roman" w:cs="Times New Roman"/>
          <w:sz w:val="24"/>
          <w:szCs w:val="24"/>
        </w:rPr>
        <w:t xml:space="preserve">, L. M., </w:t>
      </w:r>
      <w:proofErr w:type="spellStart"/>
      <w:r w:rsidRPr="00B53AC1">
        <w:rPr>
          <w:rFonts w:ascii="Times New Roman" w:hAnsi="Times New Roman" w:cs="Times New Roman"/>
          <w:sz w:val="24"/>
          <w:szCs w:val="24"/>
        </w:rPr>
        <w:t>Flegal</w:t>
      </w:r>
      <w:proofErr w:type="spellEnd"/>
      <w:r w:rsidRPr="00B53AC1">
        <w:rPr>
          <w:rFonts w:ascii="Times New Roman" w:hAnsi="Times New Roman" w:cs="Times New Roman"/>
          <w:sz w:val="24"/>
          <w:szCs w:val="24"/>
        </w:rPr>
        <w:t xml:space="preserve">, K. M., </w:t>
      </w:r>
      <w:proofErr w:type="spellStart"/>
      <w:r w:rsidRPr="00B53AC1">
        <w:rPr>
          <w:rFonts w:ascii="Times New Roman" w:hAnsi="Times New Roman" w:cs="Times New Roman"/>
          <w:sz w:val="24"/>
          <w:szCs w:val="24"/>
        </w:rPr>
        <w:t>Guo</w:t>
      </w:r>
      <w:proofErr w:type="spellEnd"/>
      <w:r w:rsidRPr="00B53AC1">
        <w:rPr>
          <w:rFonts w:ascii="Times New Roman" w:hAnsi="Times New Roman" w:cs="Times New Roman"/>
          <w:sz w:val="24"/>
          <w:szCs w:val="24"/>
        </w:rPr>
        <w:t xml:space="preserve">, S. S., </w:t>
      </w:r>
      <w:proofErr w:type="spellStart"/>
      <w:r w:rsidRPr="00B53AC1">
        <w:rPr>
          <w:rFonts w:ascii="Times New Roman" w:hAnsi="Times New Roman" w:cs="Times New Roman"/>
          <w:sz w:val="24"/>
          <w:szCs w:val="24"/>
        </w:rPr>
        <w:t>Wei</w:t>
      </w:r>
      <w:proofErr w:type="spellEnd"/>
      <w:r w:rsidRPr="00B53AC1">
        <w:rPr>
          <w:rFonts w:ascii="Times New Roman" w:hAnsi="Times New Roman" w:cs="Times New Roman"/>
          <w:sz w:val="24"/>
          <w:szCs w:val="24"/>
        </w:rPr>
        <w:t xml:space="preserve">, R., et al. (2000). </w:t>
      </w:r>
      <w:r w:rsidRPr="00B53AC1">
        <w:rPr>
          <w:rFonts w:ascii="Times New Roman" w:hAnsi="Times New Roman" w:cs="Times New Roman"/>
          <w:i/>
          <w:sz w:val="24"/>
          <w:szCs w:val="24"/>
        </w:rPr>
        <w:t xml:space="preserve">CDC </w:t>
      </w:r>
      <w:proofErr w:type="spellStart"/>
      <w:r w:rsidRPr="00B53AC1">
        <w:rPr>
          <w:rFonts w:ascii="Times New Roman" w:hAnsi="Times New Roman" w:cs="Times New Roman"/>
          <w:i/>
          <w:sz w:val="24"/>
          <w:szCs w:val="24"/>
        </w:rPr>
        <w:t>Growth</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Charts</w:t>
      </w:r>
      <w:proofErr w:type="spellEnd"/>
      <w:r w:rsidRPr="00B53AC1">
        <w:rPr>
          <w:rFonts w:ascii="Times New Roman" w:hAnsi="Times New Roman" w:cs="Times New Roman"/>
          <w:i/>
          <w:sz w:val="24"/>
          <w:szCs w:val="24"/>
        </w:rPr>
        <w:t xml:space="preserve">: United </w:t>
      </w:r>
      <w:proofErr w:type="spellStart"/>
      <w:r w:rsidRPr="00B53AC1">
        <w:rPr>
          <w:rFonts w:ascii="Times New Roman" w:hAnsi="Times New Roman" w:cs="Times New Roman"/>
          <w:i/>
          <w:sz w:val="24"/>
          <w:szCs w:val="24"/>
        </w:rPr>
        <w:t>States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Advance</w:t>
      </w:r>
      <w:proofErr w:type="spellEnd"/>
      <w:r w:rsidRPr="00B53AC1">
        <w:rPr>
          <w:rFonts w:ascii="Times New Roman" w:hAnsi="Times New Roman" w:cs="Times New Roman"/>
          <w:sz w:val="24"/>
          <w:szCs w:val="24"/>
        </w:rPr>
        <w:t xml:space="preserve"> Data </w:t>
      </w:r>
      <w:proofErr w:type="spellStart"/>
      <w:r w:rsidRPr="00B53AC1">
        <w:rPr>
          <w:rFonts w:ascii="Times New Roman" w:hAnsi="Times New Roman" w:cs="Times New Roman"/>
          <w:sz w:val="24"/>
          <w:szCs w:val="24"/>
        </w:rPr>
        <w:t>From</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vital</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health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statistics</w:t>
      </w:r>
      <w:proofErr w:type="spellEnd"/>
      <w:r w:rsidRPr="00B53AC1">
        <w:rPr>
          <w:rFonts w:ascii="Times New Roman" w:hAnsi="Times New Roman" w:cs="Times New Roman"/>
          <w:sz w:val="24"/>
          <w:szCs w:val="24"/>
        </w:rPr>
        <w:t xml:space="preserve"> no 314. </w:t>
      </w:r>
      <w:proofErr w:type="spellStart"/>
      <w:r w:rsidRPr="00B53AC1">
        <w:rPr>
          <w:rFonts w:ascii="Times New Roman" w:hAnsi="Times New Roman" w:cs="Times New Roman"/>
          <w:sz w:val="24"/>
          <w:szCs w:val="24"/>
        </w:rPr>
        <w:t>Hyattsville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National</w:t>
      </w:r>
      <w:proofErr w:type="spellEnd"/>
      <w:r w:rsidRPr="00B53AC1">
        <w:rPr>
          <w:rFonts w:ascii="Times New Roman" w:hAnsi="Times New Roman" w:cs="Times New Roman"/>
          <w:sz w:val="24"/>
          <w:szCs w:val="24"/>
        </w:rPr>
        <w:t xml:space="preserve"> Center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Health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Statistics</w:t>
      </w:r>
      <w:proofErr w:type="spellEnd"/>
      <w:r w:rsidRPr="00B53AC1">
        <w:rPr>
          <w:rFonts w:ascii="Times New Roman" w:hAnsi="Times New Roman" w:cs="Times New Roman"/>
          <w:sz w:val="24"/>
          <w:szCs w:val="24"/>
        </w:rPr>
        <w:t>: Maryland.</w:t>
      </w:r>
    </w:p>
    <w:p w14:paraId="3E163480"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Kułaga</w:t>
      </w:r>
      <w:proofErr w:type="spellEnd"/>
      <w:r w:rsidRPr="00B53AC1">
        <w:rPr>
          <w:rFonts w:ascii="Times New Roman" w:hAnsi="Times New Roman" w:cs="Times New Roman"/>
          <w:sz w:val="24"/>
          <w:szCs w:val="24"/>
        </w:rPr>
        <w:t xml:space="preserve">, Z., </w:t>
      </w:r>
      <w:proofErr w:type="spellStart"/>
      <w:r w:rsidRPr="00B53AC1">
        <w:rPr>
          <w:rFonts w:ascii="Times New Roman" w:hAnsi="Times New Roman" w:cs="Times New Roman"/>
          <w:sz w:val="24"/>
          <w:szCs w:val="24"/>
        </w:rPr>
        <w:t>Grajda</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Gurzkowska</w:t>
      </w:r>
      <w:proofErr w:type="spellEnd"/>
      <w:r w:rsidRPr="00B53AC1">
        <w:rPr>
          <w:rFonts w:ascii="Times New Roman" w:hAnsi="Times New Roman" w:cs="Times New Roman"/>
          <w:sz w:val="24"/>
          <w:szCs w:val="24"/>
        </w:rPr>
        <w:t xml:space="preserve">, B., </w:t>
      </w:r>
      <w:proofErr w:type="spellStart"/>
      <w:r w:rsidRPr="00B53AC1">
        <w:rPr>
          <w:rFonts w:ascii="Times New Roman" w:hAnsi="Times New Roman" w:cs="Times New Roman"/>
          <w:sz w:val="24"/>
          <w:szCs w:val="24"/>
        </w:rPr>
        <w:t>Góźdź</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Wojtyło</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Swiąder</w:t>
      </w:r>
      <w:proofErr w:type="spellEnd"/>
      <w:r w:rsidRPr="00B53AC1">
        <w:rPr>
          <w:rFonts w:ascii="Times New Roman" w:hAnsi="Times New Roman" w:cs="Times New Roman"/>
          <w:sz w:val="24"/>
          <w:szCs w:val="24"/>
        </w:rPr>
        <w:t xml:space="preserve">, A., … </w:t>
      </w:r>
      <w:proofErr w:type="spellStart"/>
      <w:r w:rsidRPr="00B53AC1">
        <w:rPr>
          <w:rFonts w:ascii="Times New Roman" w:hAnsi="Times New Roman" w:cs="Times New Roman"/>
          <w:sz w:val="24"/>
          <w:szCs w:val="24"/>
        </w:rPr>
        <w:t>Litwin</w:t>
      </w:r>
      <w:proofErr w:type="spellEnd"/>
      <w:r w:rsidRPr="00B53AC1">
        <w:rPr>
          <w:rFonts w:ascii="Times New Roman" w:hAnsi="Times New Roman" w:cs="Times New Roman"/>
          <w:sz w:val="24"/>
          <w:szCs w:val="24"/>
        </w:rPr>
        <w:t xml:space="preserve">, M. (2013). </w:t>
      </w:r>
      <w:proofErr w:type="spellStart"/>
      <w:r w:rsidRPr="00B53AC1">
        <w:rPr>
          <w:rFonts w:ascii="Times New Roman" w:hAnsi="Times New Roman" w:cs="Times New Roman"/>
          <w:sz w:val="24"/>
          <w:szCs w:val="24"/>
        </w:rPr>
        <w:t>Polish</w:t>
      </w:r>
      <w:proofErr w:type="spellEnd"/>
      <w:r w:rsidRPr="00B53AC1">
        <w:rPr>
          <w:rFonts w:ascii="Times New Roman" w:hAnsi="Times New Roman" w:cs="Times New Roman"/>
          <w:sz w:val="24"/>
          <w:szCs w:val="24"/>
        </w:rPr>
        <w:t xml:space="preserve"> 2012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references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preschool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w:t>
      </w:r>
      <w:proofErr w:type="spellStart"/>
      <w:r w:rsidRPr="00B53AC1">
        <w:rPr>
          <w:rFonts w:ascii="Times New Roman" w:eastAsia="Times New Roman" w:hAnsi="Times New Roman" w:cs="Times New Roman"/>
          <w:i/>
          <w:sz w:val="24"/>
          <w:szCs w:val="24"/>
        </w:rPr>
        <w:t>European</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Journal</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of</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Pediatrics</w:t>
      </w:r>
      <w:proofErr w:type="spellEnd"/>
      <w:r w:rsidRPr="00B53AC1">
        <w:rPr>
          <w:rFonts w:ascii="Times New Roman" w:hAnsi="Times New Roman" w:cs="Times New Roman"/>
          <w:i/>
          <w:sz w:val="24"/>
          <w:szCs w:val="24"/>
        </w:rPr>
        <w:t>, 172</w:t>
      </w:r>
      <w:r w:rsidRPr="00B53AC1">
        <w:rPr>
          <w:rFonts w:ascii="Times New Roman" w:hAnsi="Times New Roman" w:cs="Times New Roman"/>
          <w:sz w:val="24"/>
          <w:szCs w:val="24"/>
        </w:rPr>
        <w:t xml:space="preserve">(6), 753–761.  </w:t>
      </w:r>
    </w:p>
    <w:p w14:paraId="74E8E897"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Kułaga</w:t>
      </w:r>
      <w:proofErr w:type="spellEnd"/>
      <w:r w:rsidRPr="00B53AC1">
        <w:rPr>
          <w:rFonts w:ascii="Times New Roman" w:hAnsi="Times New Roman" w:cs="Times New Roman"/>
          <w:sz w:val="24"/>
          <w:szCs w:val="24"/>
        </w:rPr>
        <w:t xml:space="preserve">, Z., </w:t>
      </w:r>
      <w:proofErr w:type="spellStart"/>
      <w:r w:rsidRPr="00B53AC1">
        <w:rPr>
          <w:rFonts w:ascii="Times New Roman" w:hAnsi="Times New Roman" w:cs="Times New Roman"/>
          <w:sz w:val="24"/>
          <w:szCs w:val="24"/>
        </w:rPr>
        <w:t>Litwin</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Tkaczyk</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Palczewska</w:t>
      </w:r>
      <w:proofErr w:type="spellEnd"/>
      <w:r w:rsidRPr="00B53AC1">
        <w:rPr>
          <w:rFonts w:ascii="Times New Roman" w:hAnsi="Times New Roman" w:cs="Times New Roman"/>
          <w:sz w:val="24"/>
          <w:szCs w:val="24"/>
        </w:rPr>
        <w:t xml:space="preserve">, I., </w:t>
      </w:r>
      <w:proofErr w:type="spellStart"/>
      <w:r w:rsidRPr="00B53AC1">
        <w:rPr>
          <w:rFonts w:ascii="Times New Roman" w:hAnsi="Times New Roman" w:cs="Times New Roman"/>
          <w:sz w:val="24"/>
          <w:szCs w:val="24"/>
        </w:rPr>
        <w:t>Zajączkowska</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Zwolińska</w:t>
      </w:r>
      <w:proofErr w:type="spellEnd"/>
      <w:r w:rsidRPr="00B53AC1">
        <w:rPr>
          <w:rFonts w:ascii="Times New Roman" w:hAnsi="Times New Roman" w:cs="Times New Roman"/>
          <w:sz w:val="24"/>
          <w:szCs w:val="24"/>
        </w:rPr>
        <w:t xml:space="preserve">, … Pan, H. (2011). </w:t>
      </w:r>
      <w:proofErr w:type="spellStart"/>
      <w:r w:rsidRPr="00B53AC1">
        <w:rPr>
          <w:rFonts w:ascii="Times New Roman" w:hAnsi="Times New Roman" w:cs="Times New Roman"/>
          <w:sz w:val="24"/>
          <w:szCs w:val="24"/>
        </w:rPr>
        <w:t>Polish</w:t>
      </w:r>
      <w:proofErr w:type="spellEnd"/>
      <w:r w:rsidRPr="00B53AC1">
        <w:rPr>
          <w:rFonts w:ascii="Times New Roman" w:hAnsi="Times New Roman" w:cs="Times New Roman"/>
          <w:sz w:val="24"/>
          <w:szCs w:val="24"/>
        </w:rPr>
        <w:t xml:space="preserve"> 2010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references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school-aged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adolescents</w:t>
      </w:r>
      <w:proofErr w:type="spellEnd"/>
      <w:r w:rsidRPr="00B53AC1">
        <w:rPr>
          <w:rFonts w:ascii="Times New Roman" w:hAnsi="Times New Roman" w:cs="Times New Roman"/>
          <w:sz w:val="24"/>
          <w:szCs w:val="24"/>
        </w:rPr>
        <w:t xml:space="preserve">. </w:t>
      </w:r>
      <w:proofErr w:type="spellStart"/>
      <w:r w:rsidRPr="00B53AC1">
        <w:rPr>
          <w:rFonts w:ascii="Times New Roman" w:eastAsia="Times New Roman" w:hAnsi="Times New Roman" w:cs="Times New Roman"/>
          <w:i/>
          <w:sz w:val="24"/>
          <w:szCs w:val="24"/>
        </w:rPr>
        <w:t>European</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Journal</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of</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Pediatrics</w:t>
      </w:r>
      <w:proofErr w:type="spellEnd"/>
      <w:r w:rsidRPr="00B53AC1">
        <w:rPr>
          <w:rFonts w:ascii="Times New Roman" w:hAnsi="Times New Roman" w:cs="Times New Roman"/>
          <w:i/>
          <w:sz w:val="24"/>
          <w:szCs w:val="24"/>
        </w:rPr>
        <w:t>, 170</w:t>
      </w:r>
      <w:r w:rsidRPr="00B53AC1">
        <w:rPr>
          <w:rFonts w:ascii="Times New Roman" w:hAnsi="Times New Roman" w:cs="Times New Roman"/>
          <w:sz w:val="24"/>
          <w:szCs w:val="24"/>
        </w:rPr>
        <w:t xml:space="preserve">(5), 599–609.  </w:t>
      </w:r>
    </w:p>
    <w:p w14:paraId="262FDDBF"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Kyle, U. G., </w:t>
      </w:r>
      <w:proofErr w:type="spellStart"/>
      <w:r w:rsidRPr="00B53AC1">
        <w:rPr>
          <w:rFonts w:ascii="Times New Roman" w:hAnsi="Times New Roman" w:cs="Times New Roman"/>
          <w:sz w:val="24"/>
          <w:szCs w:val="24"/>
        </w:rPr>
        <w:t>Bosaeus</w:t>
      </w:r>
      <w:proofErr w:type="spellEnd"/>
      <w:r w:rsidRPr="00B53AC1">
        <w:rPr>
          <w:rFonts w:ascii="Times New Roman" w:hAnsi="Times New Roman" w:cs="Times New Roman"/>
          <w:sz w:val="24"/>
          <w:szCs w:val="24"/>
        </w:rPr>
        <w:t xml:space="preserve">, I., De Lorenzo, A., </w:t>
      </w:r>
      <w:proofErr w:type="spellStart"/>
      <w:r w:rsidRPr="00B53AC1">
        <w:rPr>
          <w:rFonts w:ascii="Times New Roman" w:hAnsi="Times New Roman" w:cs="Times New Roman"/>
          <w:sz w:val="24"/>
          <w:szCs w:val="24"/>
        </w:rPr>
        <w:t>Deurenberg</w:t>
      </w:r>
      <w:proofErr w:type="spellEnd"/>
      <w:r w:rsidRPr="00B53AC1">
        <w:rPr>
          <w:rFonts w:ascii="Times New Roman" w:hAnsi="Times New Roman" w:cs="Times New Roman"/>
          <w:sz w:val="24"/>
          <w:szCs w:val="24"/>
        </w:rPr>
        <w:t xml:space="preserve">, P., Elia, M., </w:t>
      </w:r>
      <w:proofErr w:type="spellStart"/>
      <w:r w:rsidRPr="00B53AC1">
        <w:rPr>
          <w:rFonts w:ascii="Times New Roman" w:hAnsi="Times New Roman" w:cs="Times New Roman"/>
          <w:sz w:val="24"/>
          <w:szCs w:val="24"/>
        </w:rPr>
        <w:t>Gómez</w:t>
      </w:r>
      <w:proofErr w:type="spellEnd"/>
      <w:r w:rsidRPr="00B53AC1">
        <w:rPr>
          <w:rFonts w:ascii="Times New Roman" w:hAnsi="Times New Roman" w:cs="Times New Roman"/>
          <w:sz w:val="24"/>
          <w:szCs w:val="24"/>
        </w:rPr>
        <w:t xml:space="preserve">, J., … </w:t>
      </w:r>
      <w:proofErr w:type="spellStart"/>
      <w:r w:rsidRPr="00B53AC1">
        <w:rPr>
          <w:rFonts w:ascii="Times New Roman" w:hAnsi="Times New Roman" w:cs="Times New Roman"/>
          <w:sz w:val="24"/>
          <w:szCs w:val="24"/>
        </w:rPr>
        <w:t>Pichard</w:t>
      </w:r>
      <w:proofErr w:type="spellEnd"/>
      <w:r w:rsidRPr="00B53AC1">
        <w:rPr>
          <w:rFonts w:ascii="Times New Roman" w:hAnsi="Times New Roman" w:cs="Times New Roman"/>
          <w:sz w:val="24"/>
          <w:szCs w:val="24"/>
        </w:rPr>
        <w:t xml:space="preserve">, C. (2004). </w:t>
      </w:r>
      <w:proofErr w:type="spellStart"/>
      <w:r w:rsidRPr="00B53AC1">
        <w:rPr>
          <w:rFonts w:ascii="Times New Roman" w:hAnsi="Times New Roman" w:cs="Times New Roman"/>
          <w:sz w:val="24"/>
          <w:szCs w:val="24"/>
        </w:rPr>
        <w:t>Bioelectrical</w:t>
      </w:r>
      <w:proofErr w:type="spellEnd"/>
      <w:r w:rsidRPr="00B53AC1">
        <w:rPr>
          <w:rFonts w:ascii="Times New Roman" w:hAnsi="Times New Roman" w:cs="Times New Roman"/>
          <w:sz w:val="24"/>
          <w:szCs w:val="24"/>
        </w:rPr>
        <w:t xml:space="preserve"> impedance </w:t>
      </w:r>
      <w:proofErr w:type="spellStart"/>
      <w:r w:rsidRPr="00B53AC1">
        <w:rPr>
          <w:rFonts w:ascii="Times New Roman" w:hAnsi="Times New Roman" w:cs="Times New Roman"/>
          <w:sz w:val="24"/>
          <w:szCs w:val="24"/>
        </w:rPr>
        <w:t>analysis</w:t>
      </w:r>
      <w:proofErr w:type="spellEnd"/>
      <w:r w:rsidRPr="00B53AC1">
        <w:rPr>
          <w:rFonts w:ascii="Times New Roman" w:hAnsi="Times New Roman" w:cs="Times New Roman"/>
          <w:sz w:val="24"/>
          <w:szCs w:val="24"/>
        </w:rPr>
        <w:t xml:space="preserve"> part I: </w:t>
      </w:r>
      <w:proofErr w:type="spellStart"/>
      <w:r w:rsidRPr="00B53AC1">
        <w:rPr>
          <w:rFonts w:ascii="Times New Roman" w:hAnsi="Times New Roman" w:cs="Times New Roman"/>
          <w:sz w:val="24"/>
          <w:szCs w:val="24"/>
        </w:rPr>
        <w:t>review</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principles</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methods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i/>
          <w:sz w:val="24"/>
          <w:szCs w:val="24"/>
        </w:rPr>
        <w:t>Clinical</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Nutrition</w:t>
      </w:r>
      <w:proofErr w:type="spellEnd"/>
      <w:r w:rsidRPr="00B53AC1">
        <w:rPr>
          <w:rFonts w:ascii="Times New Roman" w:hAnsi="Times New Roman" w:cs="Times New Roman"/>
          <w:i/>
          <w:sz w:val="24"/>
          <w:szCs w:val="24"/>
        </w:rPr>
        <w:t>, 23</w:t>
      </w:r>
      <w:r w:rsidRPr="00B53AC1">
        <w:rPr>
          <w:rFonts w:ascii="Times New Roman" w:hAnsi="Times New Roman" w:cs="Times New Roman"/>
          <w:sz w:val="24"/>
          <w:szCs w:val="24"/>
        </w:rPr>
        <w:t>(5), 1226-1243.</w:t>
      </w:r>
    </w:p>
    <w:p w14:paraId="155AA9A7"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lastRenderedPageBreak/>
        <w:t xml:space="preserve">Lim, J. S., </w:t>
      </w:r>
      <w:proofErr w:type="spellStart"/>
      <w:r w:rsidRPr="00B53AC1">
        <w:rPr>
          <w:rFonts w:ascii="Times New Roman" w:hAnsi="Times New Roman" w:cs="Times New Roman"/>
          <w:sz w:val="24"/>
          <w:szCs w:val="24"/>
        </w:rPr>
        <w:t>Hwang</w:t>
      </w:r>
      <w:proofErr w:type="spellEnd"/>
      <w:r w:rsidRPr="00B53AC1">
        <w:rPr>
          <w:rFonts w:ascii="Times New Roman" w:hAnsi="Times New Roman" w:cs="Times New Roman"/>
          <w:sz w:val="24"/>
          <w:szCs w:val="24"/>
        </w:rPr>
        <w:t xml:space="preserve">, J. S., </w:t>
      </w:r>
      <w:proofErr w:type="spellStart"/>
      <w:r w:rsidRPr="00B53AC1">
        <w:rPr>
          <w:rFonts w:ascii="Times New Roman" w:hAnsi="Times New Roman" w:cs="Times New Roman"/>
          <w:sz w:val="24"/>
          <w:szCs w:val="24"/>
        </w:rPr>
        <w:t>Lee</w:t>
      </w:r>
      <w:proofErr w:type="spellEnd"/>
      <w:r w:rsidRPr="00B53AC1">
        <w:rPr>
          <w:rFonts w:ascii="Times New Roman" w:hAnsi="Times New Roman" w:cs="Times New Roman"/>
          <w:sz w:val="24"/>
          <w:szCs w:val="24"/>
        </w:rPr>
        <w:t xml:space="preserve">, J. A., Kim, D. H., Park, K. D., </w:t>
      </w:r>
      <w:proofErr w:type="spellStart"/>
      <w:r w:rsidRPr="00B53AC1">
        <w:rPr>
          <w:rFonts w:ascii="Times New Roman" w:hAnsi="Times New Roman" w:cs="Times New Roman"/>
          <w:sz w:val="24"/>
          <w:szCs w:val="24"/>
        </w:rPr>
        <w:t>Jeong</w:t>
      </w:r>
      <w:proofErr w:type="spellEnd"/>
      <w:r w:rsidRPr="00B53AC1">
        <w:rPr>
          <w:rFonts w:ascii="Times New Roman" w:hAnsi="Times New Roman" w:cs="Times New Roman"/>
          <w:sz w:val="24"/>
          <w:szCs w:val="24"/>
        </w:rPr>
        <w:t xml:space="preserve">, J. S., … </w:t>
      </w:r>
      <w:proofErr w:type="spellStart"/>
      <w:r w:rsidRPr="00B53AC1">
        <w:rPr>
          <w:rFonts w:ascii="Times New Roman" w:hAnsi="Times New Roman" w:cs="Times New Roman"/>
          <w:sz w:val="24"/>
          <w:szCs w:val="24"/>
        </w:rPr>
        <w:t>Cheon</w:t>
      </w:r>
      <w:proofErr w:type="spellEnd"/>
      <w:r w:rsidRPr="00B53AC1">
        <w:rPr>
          <w:rFonts w:ascii="Times New Roman" w:hAnsi="Times New Roman" w:cs="Times New Roman"/>
          <w:sz w:val="24"/>
          <w:szCs w:val="24"/>
        </w:rPr>
        <w:t xml:space="preserve">, G. J. (2009). </w:t>
      </w:r>
      <w:proofErr w:type="spellStart"/>
      <w:r w:rsidRPr="00B53AC1">
        <w:rPr>
          <w:rFonts w:ascii="Times New Roman" w:hAnsi="Times New Roman" w:cs="Times New Roman"/>
          <w:sz w:val="24"/>
          <w:szCs w:val="24"/>
        </w:rPr>
        <w:t>Cross-calibration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multi-frequency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bioelectrical</w:t>
      </w:r>
      <w:proofErr w:type="spellEnd"/>
      <w:r w:rsidRPr="00B53AC1">
        <w:rPr>
          <w:rFonts w:ascii="Times New Roman" w:hAnsi="Times New Roman" w:cs="Times New Roman"/>
          <w:sz w:val="24"/>
          <w:szCs w:val="24"/>
        </w:rPr>
        <w:t xml:space="preserve"> impedance </w:t>
      </w:r>
      <w:proofErr w:type="spellStart"/>
      <w:r w:rsidRPr="00B53AC1">
        <w:rPr>
          <w:rFonts w:ascii="Times New Roman" w:hAnsi="Times New Roman" w:cs="Times New Roman"/>
          <w:sz w:val="24"/>
          <w:szCs w:val="24"/>
        </w:rPr>
        <w:t>analysis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with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eight</w:t>
      </w:r>
      <w:proofErr w:type="spellEnd"/>
      <w:r w:rsidRPr="00B53AC1">
        <w:rPr>
          <w:rFonts w:ascii="Times New Roman" w:hAnsi="Times New Roman" w:cs="Times New Roman"/>
          <w:sz w:val="24"/>
          <w:szCs w:val="24"/>
        </w:rPr>
        <w:t xml:space="preserve">-point </w:t>
      </w:r>
      <w:proofErr w:type="spellStart"/>
      <w:r w:rsidRPr="00B53AC1">
        <w:rPr>
          <w:rFonts w:ascii="Times New Roman" w:hAnsi="Times New Roman" w:cs="Times New Roman"/>
          <w:sz w:val="24"/>
          <w:szCs w:val="24"/>
        </w:rPr>
        <w:t>tactile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electrodes</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dual-energy</w:t>
      </w:r>
      <w:proofErr w:type="spellEnd"/>
      <w:r w:rsidRPr="00B53AC1">
        <w:rPr>
          <w:rFonts w:ascii="Times New Roman" w:hAnsi="Times New Roman" w:cs="Times New Roman"/>
          <w:sz w:val="24"/>
          <w:szCs w:val="24"/>
        </w:rPr>
        <w:t xml:space="preserve"> X-</w:t>
      </w:r>
      <w:proofErr w:type="spellStart"/>
      <w:r w:rsidRPr="00B53AC1">
        <w:rPr>
          <w:rFonts w:ascii="Times New Roman" w:hAnsi="Times New Roman" w:cs="Times New Roman"/>
          <w:sz w:val="24"/>
          <w:szCs w:val="24"/>
        </w:rPr>
        <w:t>ray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absorptiometry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assessment</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body </w:t>
      </w:r>
      <w:proofErr w:type="spellStart"/>
      <w:r w:rsidRPr="00B53AC1">
        <w:rPr>
          <w:rFonts w:ascii="Times New Roman" w:hAnsi="Times New Roman" w:cs="Times New Roman"/>
          <w:sz w:val="24"/>
          <w:szCs w:val="24"/>
        </w:rPr>
        <w:t>composition</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healthy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aged</w:t>
      </w:r>
      <w:proofErr w:type="spellEnd"/>
      <w:r w:rsidRPr="00B53AC1">
        <w:rPr>
          <w:rFonts w:ascii="Times New Roman" w:hAnsi="Times New Roman" w:cs="Times New Roman"/>
          <w:sz w:val="24"/>
          <w:szCs w:val="24"/>
        </w:rPr>
        <w:t xml:space="preserve"> 6-18 </w:t>
      </w:r>
      <w:proofErr w:type="spellStart"/>
      <w:r w:rsidRPr="00B53AC1">
        <w:rPr>
          <w:rFonts w:ascii="Times New Roman" w:hAnsi="Times New Roman" w:cs="Times New Roman"/>
          <w:sz w:val="24"/>
          <w:szCs w:val="24"/>
        </w:rPr>
        <w:t>years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i/>
          <w:iCs/>
          <w:sz w:val="24"/>
          <w:szCs w:val="24"/>
        </w:rPr>
        <w:t>Pediatrics</w:t>
      </w:r>
      <w:proofErr w:type="spellEnd"/>
      <w:r w:rsidRPr="00B53AC1">
        <w:rPr>
          <w:rFonts w:ascii="Times New Roman" w:hAnsi="Times New Roman" w:cs="Times New Roman"/>
          <w:i/>
          <w:iCs/>
          <w:sz w:val="24"/>
          <w:szCs w:val="24"/>
        </w:rPr>
        <w:t xml:space="preserve"> International, 51</w:t>
      </w:r>
      <w:r w:rsidRPr="00B53AC1">
        <w:rPr>
          <w:rFonts w:ascii="Times New Roman" w:hAnsi="Times New Roman" w:cs="Times New Roman"/>
          <w:sz w:val="24"/>
          <w:szCs w:val="24"/>
        </w:rPr>
        <w:t>(2), 263-268.</w:t>
      </w:r>
      <w:r w:rsidRPr="00B53AC1">
        <w:rPr>
          <w:rFonts w:ascii="Times New Roman" w:hAnsi="Times New Roman" w:cs="Times New Roman"/>
          <w:color w:val="000000"/>
          <w:sz w:val="24"/>
          <w:szCs w:val="24"/>
          <w:shd w:val="clear" w:color="auto" w:fill="FFFFFF"/>
        </w:rPr>
        <w:t xml:space="preserve"> </w:t>
      </w:r>
      <w:proofErr w:type="spellStart"/>
      <w:r w:rsidRPr="00B53AC1">
        <w:rPr>
          <w:rFonts w:ascii="Times New Roman" w:hAnsi="Times New Roman" w:cs="Times New Roman"/>
          <w:color w:val="000000"/>
          <w:sz w:val="24"/>
          <w:szCs w:val="24"/>
          <w:shd w:val="clear" w:color="auto" w:fill="FFFFFF"/>
        </w:rPr>
        <w:t>doi</w:t>
      </w:r>
      <w:proofErr w:type="spellEnd"/>
      <w:r w:rsidRPr="00B53AC1">
        <w:rPr>
          <w:rFonts w:ascii="Times New Roman" w:hAnsi="Times New Roman" w:cs="Times New Roman"/>
          <w:color w:val="000000"/>
          <w:sz w:val="24"/>
          <w:szCs w:val="24"/>
          <w:shd w:val="clear" w:color="auto" w:fill="FFFFFF"/>
        </w:rPr>
        <w:t>: 10.1111/j.</w:t>
      </w:r>
      <w:proofErr w:type="gramStart"/>
      <w:r w:rsidRPr="00B53AC1">
        <w:rPr>
          <w:rFonts w:ascii="Times New Roman" w:hAnsi="Times New Roman" w:cs="Times New Roman"/>
          <w:color w:val="000000"/>
          <w:sz w:val="24"/>
          <w:szCs w:val="24"/>
          <w:shd w:val="clear" w:color="auto" w:fill="FFFFFF"/>
        </w:rPr>
        <w:t>1442-200X</w:t>
      </w:r>
      <w:proofErr w:type="gramEnd"/>
      <w:r w:rsidRPr="00B53AC1">
        <w:rPr>
          <w:rFonts w:ascii="Times New Roman" w:hAnsi="Times New Roman" w:cs="Times New Roman"/>
          <w:color w:val="000000"/>
          <w:sz w:val="24"/>
          <w:szCs w:val="24"/>
          <w:shd w:val="clear" w:color="auto" w:fill="FFFFFF"/>
        </w:rPr>
        <w:t>.2008.02698</w:t>
      </w:r>
    </w:p>
    <w:p w14:paraId="522B2729" w14:textId="77777777" w:rsidR="001A515A" w:rsidRPr="00B53AC1" w:rsidRDefault="001A515A" w:rsidP="005E73A0">
      <w:pPr>
        <w:pStyle w:val="Bezmezer"/>
        <w:spacing w:line="276" w:lineRule="auto"/>
        <w:ind w:left="284" w:hanging="284"/>
        <w:jc w:val="both"/>
        <w:rPr>
          <w:rFonts w:ascii="Times New Roman" w:hAnsi="Times New Roman" w:cs="Times New Roman"/>
          <w:color w:val="000000"/>
          <w:sz w:val="24"/>
          <w:szCs w:val="24"/>
        </w:rPr>
      </w:pPr>
      <w:proofErr w:type="spellStart"/>
      <w:r w:rsidRPr="00B53AC1">
        <w:rPr>
          <w:rFonts w:ascii="Times New Roman" w:hAnsi="Times New Roman" w:cs="Times New Roman"/>
          <w:color w:val="000000"/>
          <w:sz w:val="24"/>
          <w:szCs w:val="24"/>
        </w:rPr>
        <w:t>Malavolti</w:t>
      </w:r>
      <w:proofErr w:type="spellEnd"/>
      <w:r w:rsidRPr="00B53AC1">
        <w:rPr>
          <w:rFonts w:ascii="Times New Roman" w:hAnsi="Times New Roman" w:cs="Times New Roman"/>
          <w:color w:val="000000"/>
          <w:sz w:val="24"/>
          <w:szCs w:val="24"/>
        </w:rPr>
        <w:t xml:space="preserve">, M., </w:t>
      </w:r>
      <w:proofErr w:type="spellStart"/>
      <w:r w:rsidRPr="00B53AC1">
        <w:rPr>
          <w:rFonts w:ascii="Times New Roman" w:hAnsi="Times New Roman" w:cs="Times New Roman"/>
          <w:color w:val="000000"/>
          <w:sz w:val="24"/>
          <w:szCs w:val="24"/>
        </w:rPr>
        <w:t>Mussi</w:t>
      </w:r>
      <w:proofErr w:type="spellEnd"/>
      <w:r w:rsidRPr="00B53AC1">
        <w:rPr>
          <w:rFonts w:ascii="Times New Roman" w:hAnsi="Times New Roman" w:cs="Times New Roman"/>
          <w:color w:val="000000"/>
          <w:sz w:val="24"/>
          <w:szCs w:val="24"/>
        </w:rPr>
        <w:t xml:space="preserve">, C., Poli, M., </w:t>
      </w:r>
      <w:proofErr w:type="spellStart"/>
      <w:r w:rsidRPr="00B53AC1">
        <w:rPr>
          <w:rFonts w:ascii="Times New Roman" w:hAnsi="Times New Roman" w:cs="Times New Roman"/>
          <w:color w:val="000000"/>
          <w:sz w:val="24"/>
          <w:szCs w:val="24"/>
        </w:rPr>
        <w:t>Fantuzzi</w:t>
      </w:r>
      <w:proofErr w:type="spellEnd"/>
      <w:r w:rsidRPr="00B53AC1">
        <w:rPr>
          <w:rFonts w:ascii="Times New Roman" w:hAnsi="Times New Roman" w:cs="Times New Roman"/>
          <w:color w:val="000000"/>
          <w:sz w:val="24"/>
          <w:szCs w:val="24"/>
        </w:rPr>
        <w:t xml:space="preserve">, A. L., </w:t>
      </w:r>
      <w:proofErr w:type="spellStart"/>
      <w:r w:rsidRPr="00B53AC1">
        <w:rPr>
          <w:rFonts w:ascii="Times New Roman" w:hAnsi="Times New Roman" w:cs="Times New Roman"/>
          <w:color w:val="000000"/>
          <w:sz w:val="24"/>
          <w:szCs w:val="24"/>
        </w:rPr>
        <w:t>Salvioli</w:t>
      </w:r>
      <w:proofErr w:type="spellEnd"/>
      <w:r w:rsidRPr="00B53AC1">
        <w:rPr>
          <w:rFonts w:ascii="Times New Roman" w:hAnsi="Times New Roman" w:cs="Times New Roman"/>
          <w:color w:val="000000"/>
          <w:sz w:val="24"/>
          <w:szCs w:val="24"/>
        </w:rPr>
        <w:t xml:space="preserve">, G., </w:t>
      </w:r>
      <w:proofErr w:type="spellStart"/>
      <w:r w:rsidRPr="00B53AC1">
        <w:rPr>
          <w:rFonts w:ascii="Times New Roman" w:hAnsi="Times New Roman" w:cs="Times New Roman"/>
          <w:color w:val="000000"/>
          <w:sz w:val="24"/>
          <w:szCs w:val="24"/>
        </w:rPr>
        <w:t>Battistini</w:t>
      </w:r>
      <w:proofErr w:type="spellEnd"/>
      <w:r w:rsidRPr="00B53AC1">
        <w:rPr>
          <w:rFonts w:ascii="Times New Roman" w:hAnsi="Times New Roman" w:cs="Times New Roman"/>
          <w:color w:val="000000"/>
          <w:sz w:val="24"/>
          <w:szCs w:val="24"/>
        </w:rPr>
        <w:t xml:space="preserve">, N., ... </w:t>
      </w:r>
      <w:proofErr w:type="spellStart"/>
      <w:r w:rsidRPr="00B53AC1">
        <w:rPr>
          <w:rFonts w:ascii="Times New Roman" w:hAnsi="Times New Roman" w:cs="Times New Roman"/>
          <w:color w:val="000000"/>
          <w:sz w:val="24"/>
          <w:szCs w:val="24"/>
        </w:rPr>
        <w:t>Bedogni</w:t>
      </w:r>
      <w:proofErr w:type="spellEnd"/>
      <w:r w:rsidRPr="00B53AC1">
        <w:rPr>
          <w:rFonts w:ascii="Times New Roman" w:hAnsi="Times New Roman" w:cs="Times New Roman"/>
          <w:color w:val="000000"/>
          <w:sz w:val="24"/>
          <w:szCs w:val="24"/>
        </w:rPr>
        <w:t xml:space="preserve">, G. (2003). </w:t>
      </w:r>
      <w:proofErr w:type="spellStart"/>
      <w:r w:rsidRPr="00B53AC1">
        <w:rPr>
          <w:rFonts w:ascii="Times New Roman" w:hAnsi="Times New Roman" w:cs="Times New Roman"/>
          <w:color w:val="000000"/>
          <w:sz w:val="24"/>
          <w:szCs w:val="24"/>
        </w:rPr>
        <w:t>Cross-calibration</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of</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eight-polar</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bioelectrical</w:t>
      </w:r>
      <w:proofErr w:type="spellEnd"/>
      <w:r w:rsidRPr="00B53AC1">
        <w:rPr>
          <w:rFonts w:ascii="Times New Roman" w:hAnsi="Times New Roman" w:cs="Times New Roman"/>
          <w:color w:val="000000"/>
          <w:sz w:val="24"/>
          <w:szCs w:val="24"/>
        </w:rPr>
        <w:t xml:space="preserve"> impedance </w:t>
      </w:r>
      <w:proofErr w:type="spellStart"/>
      <w:r w:rsidRPr="00B53AC1">
        <w:rPr>
          <w:rFonts w:ascii="Times New Roman" w:hAnsi="Times New Roman" w:cs="Times New Roman"/>
          <w:color w:val="000000"/>
          <w:sz w:val="24"/>
          <w:szCs w:val="24"/>
        </w:rPr>
        <w:t>analysis</w:t>
      </w:r>
      <w:proofErr w:type="spellEnd"/>
      <w:r w:rsidRPr="00B53AC1">
        <w:rPr>
          <w:rFonts w:ascii="Times New Roman" w:hAnsi="Times New Roman" w:cs="Times New Roman"/>
          <w:color w:val="000000"/>
          <w:sz w:val="24"/>
          <w:szCs w:val="24"/>
        </w:rPr>
        <w:t xml:space="preserve"> versus </w:t>
      </w:r>
      <w:proofErr w:type="spellStart"/>
      <w:r w:rsidRPr="00B53AC1">
        <w:rPr>
          <w:rFonts w:ascii="Times New Roman" w:hAnsi="Times New Roman" w:cs="Times New Roman"/>
          <w:color w:val="000000"/>
          <w:sz w:val="24"/>
          <w:szCs w:val="24"/>
        </w:rPr>
        <w:t>dual-energy</w:t>
      </w:r>
      <w:proofErr w:type="spellEnd"/>
      <w:r w:rsidRPr="00B53AC1">
        <w:rPr>
          <w:rFonts w:ascii="Times New Roman" w:hAnsi="Times New Roman" w:cs="Times New Roman"/>
          <w:color w:val="000000"/>
          <w:sz w:val="24"/>
          <w:szCs w:val="24"/>
        </w:rPr>
        <w:t xml:space="preserve"> X-</w:t>
      </w:r>
      <w:proofErr w:type="spellStart"/>
      <w:r w:rsidRPr="00B53AC1">
        <w:rPr>
          <w:rFonts w:ascii="Times New Roman" w:hAnsi="Times New Roman" w:cs="Times New Roman"/>
          <w:color w:val="000000"/>
          <w:sz w:val="24"/>
          <w:szCs w:val="24"/>
        </w:rPr>
        <w:t>ray</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absorptiometry</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for</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the</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assessment</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of</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total</w:t>
      </w:r>
      <w:proofErr w:type="spellEnd"/>
      <w:r w:rsidRPr="00B53AC1">
        <w:rPr>
          <w:rFonts w:ascii="Times New Roman" w:hAnsi="Times New Roman" w:cs="Times New Roman"/>
          <w:color w:val="000000"/>
          <w:sz w:val="24"/>
          <w:szCs w:val="24"/>
        </w:rPr>
        <w:t xml:space="preserve"> and </w:t>
      </w:r>
      <w:proofErr w:type="spellStart"/>
      <w:r w:rsidRPr="00B53AC1">
        <w:rPr>
          <w:rFonts w:ascii="Times New Roman" w:hAnsi="Times New Roman" w:cs="Times New Roman"/>
          <w:color w:val="000000"/>
          <w:sz w:val="24"/>
          <w:szCs w:val="24"/>
        </w:rPr>
        <w:t>appendicular</w:t>
      </w:r>
      <w:proofErr w:type="spellEnd"/>
      <w:r w:rsidRPr="00B53AC1">
        <w:rPr>
          <w:rFonts w:ascii="Times New Roman" w:hAnsi="Times New Roman" w:cs="Times New Roman"/>
          <w:color w:val="000000"/>
          <w:sz w:val="24"/>
          <w:szCs w:val="24"/>
        </w:rPr>
        <w:t xml:space="preserve"> body </w:t>
      </w:r>
      <w:proofErr w:type="spellStart"/>
      <w:r w:rsidRPr="00B53AC1">
        <w:rPr>
          <w:rFonts w:ascii="Times New Roman" w:hAnsi="Times New Roman" w:cs="Times New Roman"/>
          <w:color w:val="000000"/>
          <w:sz w:val="24"/>
          <w:szCs w:val="24"/>
        </w:rPr>
        <w:t>composition</w:t>
      </w:r>
      <w:proofErr w:type="spellEnd"/>
      <w:r w:rsidRPr="00B53AC1">
        <w:rPr>
          <w:rFonts w:ascii="Times New Roman" w:hAnsi="Times New Roman" w:cs="Times New Roman"/>
          <w:color w:val="000000"/>
          <w:sz w:val="24"/>
          <w:szCs w:val="24"/>
        </w:rPr>
        <w:t xml:space="preserve"> in </w:t>
      </w:r>
      <w:proofErr w:type="spellStart"/>
      <w:r w:rsidRPr="00B53AC1">
        <w:rPr>
          <w:rFonts w:ascii="Times New Roman" w:hAnsi="Times New Roman" w:cs="Times New Roman"/>
          <w:color w:val="000000"/>
          <w:sz w:val="24"/>
          <w:szCs w:val="24"/>
        </w:rPr>
        <w:t>healthy</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subjects</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color w:val="000000"/>
          <w:sz w:val="24"/>
          <w:szCs w:val="24"/>
        </w:rPr>
        <w:t>aged</w:t>
      </w:r>
      <w:proofErr w:type="spellEnd"/>
      <w:r w:rsidRPr="00B53AC1">
        <w:rPr>
          <w:rFonts w:ascii="Times New Roman" w:hAnsi="Times New Roman" w:cs="Times New Roman"/>
          <w:color w:val="000000"/>
          <w:sz w:val="24"/>
          <w:szCs w:val="24"/>
        </w:rPr>
        <w:t xml:space="preserve"> 21-82 </w:t>
      </w:r>
      <w:proofErr w:type="spellStart"/>
      <w:r w:rsidRPr="00B53AC1">
        <w:rPr>
          <w:rFonts w:ascii="Times New Roman" w:hAnsi="Times New Roman" w:cs="Times New Roman"/>
          <w:color w:val="000000"/>
          <w:sz w:val="24"/>
          <w:szCs w:val="24"/>
        </w:rPr>
        <w:t>years</w:t>
      </w:r>
      <w:proofErr w:type="spellEnd"/>
      <w:r w:rsidRPr="00B53AC1">
        <w:rPr>
          <w:rFonts w:ascii="Times New Roman" w:hAnsi="Times New Roman" w:cs="Times New Roman"/>
          <w:color w:val="000000"/>
          <w:sz w:val="24"/>
          <w:szCs w:val="24"/>
        </w:rPr>
        <w:t xml:space="preserve">. </w:t>
      </w:r>
      <w:proofErr w:type="spellStart"/>
      <w:r w:rsidRPr="00B53AC1">
        <w:rPr>
          <w:rFonts w:ascii="Times New Roman" w:hAnsi="Times New Roman" w:cs="Times New Roman"/>
          <w:i/>
          <w:color w:val="000000"/>
          <w:sz w:val="24"/>
          <w:szCs w:val="24"/>
        </w:rPr>
        <w:t>Annals</w:t>
      </w:r>
      <w:proofErr w:type="spellEnd"/>
      <w:r w:rsidRPr="00B53AC1">
        <w:rPr>
          <w:rFonts w:ascii="Times New Roman" w:hAnsi="Times New Roman" w:cs="Times New Roman"/>
          <w:i/>
          <w:color w:val="000000"/>
          <w:sz w:val="24"/>
          <w:szCs w:val="24"/>
        </w:rPr>
        <w:t xml:space="preserve"> </w:t>
      </w:r>
      <w:proofErr w:type="spellStart"/>
      <w:r w:rsidRPr="00B53AC1">
        <w:rPr>
          <w:rFonts w:ascii="Times New Roman" w:hAnsi="Times New Roman" w:cs="Times New Roman"/>
          <w:i/>
          <w:color w:val="000000"/>
          <w:sz w:val="24"/>
          <w:szCs w:val="24"/>
        </w:rPr>
        <w:t>of</w:t>
      </w:r>
      <w:proofErr w:type="spellEnd"/>
      <w:r w:rsidRPr="00B53AC1">
        <w:rPr>
          <w:rFonts w:ascii="Times New Roman" w:hAnsi="Times New Roman" w:cs="Times New Roman"/>
          <w:i/>
          <w:color w:val="000000"/>
          <w:sz w:val="24"/>
          <w:szCs w:val="24"/>
        </w:rPr>
        <w:t xml:space="preserve"> </w:t>
      </w:r>
      <w:proofErr w:type="spellStart"/>
      <w:r w:rsidRPr="00B53AC1">
        <w:rPr>
          <w:rFonts w:ascii="Times New Roman" w:hAnsi="Times New Roman" w:cs="Times New Roman"/>
          <w:i/>
          <w:color w:val="000000"/>
          <w:sz w:val="24"/>
          <w:szCs w:val="24"/>
        </w:rPr>
        <w:t>Human</w:t>
      </w:r>
      <w:proofErr w:type="spellEnd"/>
      <w:r w:rsidRPr="00B53AC1">
        <w:rPr>
          <w:rFonts w:ascii="Times New Roman" w:hAnsi="Times New Roman" w:cs="Times New Roman"/>
          <w:i/>
          <w:color w:val="000000"/>
          <w:sz w:val="24"/>
          <w:szCs w:val="24"/>
        </w:rPr>
        <w:t xml:space="preserve"> Biology, 30</w:t>
      </w:r>
      <w:r w:rsidRPr="00B53AC1">
        <w:rPr>
          <w:rFonts w:ascii="Times New Roman" w:hAnsi="Times New Roman" w:cs="Times New Roman"/>
          <w:color w:val="000000"/>
          <w:sz w:val="24"/>
          <w:szCs w:val="24"/>
        </w:rPr>
        <w:t>(4), 380-391.</w:t>
      </w:r>
    </w:p>
    <w:p w14:paraId="5C8A3246"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Malina R. M., </w:t>
      </w:r>
      <w:proofErr w:type="spellStart"/>
      <w:r w:rsidRPr="00B53AC1">
        <w:rPr>
          <w:rFonts w:ascii="Times New Roman" w:hAnsi="Times New Roman" w:cs="Times New Roman"/>
          <w:sz w:val="24"/>
          <w:szCs w:val="24"/>
        </w:rPr>
        <w:t>Bouchard</w:t>
      </w:r>
      <w:proofErr w:type="spellEnd"/>
      <w:r w:rsidRPr="00B53AC1">
        <w:rPr>
          <w:rFonts w:ascii="Times New Roman" w:hAnsi="Times New Roman" w:cs="Times New Roman"/>
          <w:sz w:val="24"/>
          <w:szCs w:val="24"/>
        </w:rPr>
        <w:t>, C., &amp; Bar-</w:t>
      </w:r>
      <w:proofErr w:type="spellStart"/>
      <w:r w:rsidRPr="00B53AC1">
        <w:rPr>
          <w:rFonts w:ascii="Times New Roman" w:hAnsi="Times New Roman" w:cs="Times New Roman"/>
          <w:sz w:val="24"/>
          <w:szCs w:val="24"/>
        </w:rPr>
        <w:t>or</w:t>
      </w:r>
      <w:proofErr w:type="spellEnd"/>
      <w:r w:rsidRPr="00B53AC1">
        <w:rPr>
          <w:rFonts w:ascii="Times New Roman" w:hAnsi="Times New Roman" w:cs="Times New Roman"/>
          <w:sz w:val="24"/>
          <w:szCs w:val="24"/>
        </w:rPr>
        <w:t xml:space="preserve">, O. (2004). </w:t>
      </w:r>
      <w:proofErr w:type="spellStart"/>
      <w:r w:rsidRPr="00B53AC1">
        <w:rPr>
          <w:rFonts w:ascii="Times New Roman" w:hAnsi="Times New Roman" w:cs="Times New Roman"/>
          <w:i/>
          <w:sz w:val="24"/>
          <w:szCs w:val="24"/>
        </w:rPr>
        <w:t>Growth</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maturation</w:t>
      </w:r>
      <w:proofErr w:type="spellEnd"/>
      <w:r w:rsidRPr="00B53AC1">
        <w:rPr>
          <w:rFonts w:ascii="Times New Roman" w:hAnsi="Times New Roman" w:cs="Times New Roman"/>
          <w:i/>
          <w:sz w:val="24"/>
          <w:szCs w:val="24"/>
        </w:rPr>
        <w:t xml:space="preserve">, and </w:t>
      </w:r>
      <w:proofErr w:type="spellStart"/>
      <w:r w:rsidRPr="00B53AC1">
        <w:rPr>
          <w:rFonts w:ascii="Times New Roman" w:hAnsi="Times New Roman" w:cs="Times New Roman"/>
          <w:i/>
          <w:sz w:val="24"/>
          <w:szCs w:val="24"/>
        </w:rPr>
        <w:t>physical</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activity</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Champaign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Ill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Human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Kinetics</w:t>
      </w:r>
      <w:proofErr w:type="spellEnd"/>
      <w:r w:rsidRPr="00B53AC1">
        <w:rPr>
          <w:rFonts w:ascii="Times New Roman" w:hAnsi="Times New Roman" w:cs="Times New Roman"/>
          <w:sz w:val="24"/>
          <w:szCs w:val="24"/>
        </w:rPr>
        <w:t>.</w:t>
      </w:r>
    </w:p>
    <w:p w14:paraId="3CB7943A" w14:textId="77777777" w:rsidR="001A515A" w:rsidRPr="00B53AC1" w:rsidRDefault="001A515A" w:rsidP="00B53AC1">
      <w:pPr>
        <w:pStyle w:val="Bezmezer"/>
        <w:spacing w:line="276" w:lineRule="auto"/>
        <w:jc w:val="both"/>
        <w:rPr>
          <w:rFonts w:ascii="Times New Roman" w:hAnsi="Times New Roman" w:cs="Times New Roman"/>
          <w:sz w:val="24"/>
          <w:szCs w:val="24"/>
          <w:shd w:val="clear" w:color="auto" w:fill="FFFFFF"/>
        </w:rPr>
      </w:pPr>
      <w:proofErr w:type="spellStart"/>
      <w:r w:rsidRPr="00B53AC1">
        <w:rPr>
          <w:rFonts w:ascii="Times New Roman" w:hAnsi="Times New Roman" w:cs="Times New Roman"/>
          <w:sz w:val="24"/>
          <w:szCs w:val="24"/>
          <w:shd w:val="clear" w:color="auto" w:fill="FFFFFF"/>
        </w:rPr>
        <w:t>Marinov</w:t>
      </w:r>
      <w:proofErr w:type="spellEnd"/>
      <w:r w:rsidRPr="00B53AC1">
        <w:rPr>
          <w:rFonts w:ascii="Times New Roman" w:hAnsi="Times New Roman" w:cs="Times New Roman"/>
          <w:sz w:val="24"/>
          <w:szCs w:val="24"/>
          <w:shd w:val="clear" w:color="auto" w:fill="FFFFFF"/>
        </w:rPr>
        <w:t>, Z. (2009). Rizika dětské obezity.</w:t>
      </w:r>
      <w:r w:rsidRPr="00B53AC1">
        <w:rPr>
          <w:rStyle w:val="apple-converted-space"/>
          <w:rFonts w:ascii="Times New Roman" w:hAnsi="Times New Roman" w:cs="Times New Roman"/>
          <w:color w:val="000000"/>
          <w:sz w:val="24"/>
          <w:szCs w:val="24"/>
          <w:shd w:val="clear" w:color="auto" w:fill="FFFFFF"/>
        </w:rPr>
        <w:t> </w:t>
      </w:r>
      <w:proofErr w:type="spellStart"/>
      <w:r w:rsidRPr="00B53AC1">
        <w:rPr>
          <w:rFonts w:ascii="Times New Roman" w:hAnsi="Times New Roman" w:cs="Times New Roman"/>
          <w:i/>
          <w:iCs/>
          <w:sz w:val="24"/>
          <w:szCs w:val="24"/>
          <w:shd w:val="clear" w:color="auto" w:fill="FFFFFF"/>
        </w:rPr>
        <w:t>Čes</w:t>
      </w:r>
      <w:proofErr w:type="spellEnd"/>
      <w:r w:rsidRPr="00B53AC1">
        <w:rPr>
          <w:rFonts w:ascii="Times New Roman" w:hAnsi="Times New Roman" w:cs="Times New Roman"/>
          <w:i/>
          <w:iCs/>
          <w:sz w:val="24"/>
          <w:szCs w:val="24"/>
          <w:shd w:val="clear" w:color="auto" w:fill="FFFFFF"/>
        </w:rPr>
        <w:t xml:space="preserve">-slov. </w:t>
      </w:r>
      <w:proofErr w:type="spellStart"/>
      <w:r w:rsidRPr="00B53AC1">
        <w:rPr>
          <w:rFonts w:ascii="Times New Roman" w:hAnsi="Times New Roman" w:cs="Times New Roman"/>
          <w:i/>
          <w:iCs/>
          <w:sz w:val="24"/>
          <w:szCs w:val="24"/>
          <w:shd w:val="clear" w:color="auto" w:fill="FFFFFF"/>
        </w:rPr>
        <w:t>Pediat</w:t>
      </w:r>
      <w:proofErr w:type="spellEnd"/>
      <w:r w:rsidRPr="00B53AC1">
        <w:rPr>
          <w:rFonts w:ascii="Times New Roman" w:hAnsi="Times New Roman" w:cs="Times New Roman"/>
          <w:i/>
          <w:iCs/>
          <w:sz w:val="24"/>
          <w:szCs w:val="24"/>
          <w:shd w:val="clear" w:color="auto" w:fill="FFFFFF"/>
        </w:rPr>
        <w:t>., 64</w:t>
      </w:r>
      <w:r w:rsidRPr="00B53AC1">
        <w:rPr>
          <w:rFonts w:ascii="Times New Roman" w:hAnsi="Times New Roman" w:cs="Times New Roman"/>
          <w:sz w:val="24"/>
          <w:szCs w:val="24"/>
          <w:shd w:val="clear" w:color="auto" w:fill="FFFFFF"/>
        </w:rPr>
        <w:t>(3), 141</w:t>
      </w:r>
      <w:r w:rsidRPr="00B53AC1">
        <w:rPr>
          <w:rFonts w:ascii="Times New Roman" w:hAnsi="Times New Roman" w:cs="Times New Roman"/>
          <w:noProof/>
          <w:sz w:val="24"/>
          <w:szCs w:val="24"/>
        </w:rPr>
        <w:t>–</w:t>
      </w:r>
      <w:r w:rsidRPr="00B53AC1">
        <w:rPr>
          <w:rFonts w:ascii="Times New Roman" w:hAnsi="Times New Roman" w:cs="Times New Roman"/>
          <w:sz w:val="24"/>
          <w:szCs w:val="24"/>
          <w:shd w:val="clear" w:color="auto" w:fill="FFFFFF"/>
        </w:rPr>
        <w:t>146.</w:t>
      </w:r>
    </w:p>
    <w:p w14:paraId="69BE4504" w14:textId="77777777" w:rsidR="001A515A" w:rsidRPr="00B53AC1" w:rsidRDefault="001A515A" w:rsidP="005E73A0">
      <w:pPr>
        <w:pStyle w:val="Bezmezer"/>
        <w:spacing w:line="276" w:lineRule="auto"/>
        <w:ind w:left="284" w:hanging="284"/>
        <w:jc w:val="both"/>
        <w:rPr>
          <w:rFonts w:ascii="Times New Roman" w:eastAsia="Times New Roman" w:hAnsi="Times New Roman" w:cs="Times New Roman"/>
          <w:sz w:val="24"/>
          <w:szCs w:val="24"/>
          <w:lang w:eastAsia="cs-CZ"/>
        </w:rPr>
      </w:pPr>
      <w:proofErr w:type="spellStart"/>
      <w:r w:rsidRPr="00B53AC1">
        <w:rPr>
          <w:rFonts w:ascii="Times New Roman" w:eastAsia="Times New Roman" w:hAnsi="Times New Roman" w:cs="Times New Roman"/>
          <w:sz w:val="24"/>
          <w:szCs w:val="24"/>
          <w:lang w:eastAsia="cs-CZ"/>
        </w:rPr>
        <w:t>Marinov</w:t>
      </w:r>
      <w:proofErr w:type="spellEnd"/>
      <w:r w:rsidRPr="00B53AC1">
        <w:rPr>
          <w:rFonts w:ascii="Times New Roman" w:eastAsia="Times New Roman" w:hAnsi="Times New Roman" w:cs="Times New Roman"/>
          <w:sz w:val="24"/>
          <w:szCs w:val="24"/>
          <w:lang w:eastAsia="cs-CZ"/>
        </w:rPr>
        <w:t>, Z., &amp; Pastucha, D. (2012). Běžná dětská obezita a její metabolické následky. </w:t>
      </w:r>
      <w:r w:rsidRPr="00B53AC1">
        <w:rPr>
          <w:rFonts w:ascii="Times New Roman" w:eastAsia="Times New Roman" w:hAnsi="Times New Roman" w:cs="Times New Roman"/>
          <w:i/>
          <w:iCs/>
          <w:sz w:val="24"/>
          <w:szCs w:val="24"/>
          <w:lang w:eastAsia="cs-CZ"/>
        </w:rPr>
        <w:t>Časopis lékařů českých, 151</w:t>
      </w:r>
      <w:r w:rsidRPr="00B53AC1">
        <w:rPr>
          <w:rFonts w:ascii="Times New Roman" w:eastAsia="Times New Roman" w:hAnsi="Times New Roman" w:cs="Times New Roman"/>
          <w:sz w:val="24"/>
          <w:szCs w:val="24"/>
          <w:lang w:eastAsia="cs-CZ"/>
        </w:rPr>
        <w:t>(3), 135</w:t>
      </w:r>
      <w:r w:rsidRPr="00B53AC1">
        <w:rPr>
          <w:rFonts w:ascii="Times New Roman" w:hAnsi="Times New Roman" w:cs="Times New Roman"/>
          <w:noProof/>
          <w:sz w:val="24"/>
          <w:szCs w:val="24"/>
        </w:rPr>
        <w:t>–</w:t>
      </w:r>
      <w:r w:rsidRPr="00B53AC1">
        <w:rPr>
          <w:rFonts w:ascii="Times New Roman" w:eastAsia="Times New Roman" w:hAnsi="Times New Roman" w:cs="Times New Roman"/>
          <w:sz w:val="24"/>
          <w:szCs w:val="24"/>
          <w:lang w:eastAsia="cs-CZ"/>
        </w:rPr>
        <w:t>140.</w:t>
      </w:r>
    </w:p>
    <w:p w14:paraId="436AA363"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Müllerová, D., Langmajerová, J., Sedláček, P., Dvořáková, J., </w:t>
      </w:r>
      <w:proofErr w:type="spellStart"/>
      <w:r w:rsidRPr="00B53AC1">
        <w:rPr>
          <w:rFonts w:ascii="Times New Roman" w:hAnsi="Times New Roman" w:cs="Times New Roman"/>
          <w:sz w:val="24"/>
          <w:szCs w:val="24"/>
        </w:rPr>
        <w:t>Hirschner</w:t>
      </w:r>
      <w:proofErr w:type="spellEnd"/>
      <w:r w:rsidRPr="00B53AC1">
        <w:rPr>
          <w:rFonts w:ascii="Times New Roman" w:hAnsi="Times New Roman" w:cs="Times New Roman"/>
          <w:sz w:val="24"/>
          <w:szCs w:val="24"/>
        </w:rPr>
        <w:t xml:space="preserve">, T., Weber, Z., … Brázdová, Z. (2015). </w:t>
      </w:r>
      <w:proofErr w:type="spellStart"/>
      <w:r w:rsidRPr="00B53AC1">
        <w:rPr>
          <w:rFonts w:ascii="Times New Roman" w:hAnsi="Times New Roman" w:cs="Times New Roman"/>
          <w:sz w:val="24"/>
          <w:szCs w:val="24"/>
        </w:rPr>
        <w:t>Dramatic</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decrease</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muscular</w:t>
      </w:r>
      <w:proofErr w:type="spellEnd"/>
      <w:r w:rsidRPr="00B53AC1">
        <w:rPr>
          <w:rFonts w:ascii="Times New Roman" w:hAnsi="Times New Roman" w:cs="Times New Roman"/>
          <w:sz w:val="24"/>
          <w:szCs w:val="24"/>
        </w:rPr>
        <w:t xml:space="preserve"> fitness in </w:t>
      </w:r>
      <w:proofErr w:type="spellStart"/>
      <w:r w:rsidRPr="00B53AC1">
        <w:rPr>
          <w:rFonts w:ascii="Times New Roman" w:hAnsi="Times New Roman" w:cs="Times New Roman"/>
          <w:sz w:val="24"/>
          <w:szCs w:val="24"/>
        </w:rPr>
        <w:t>the</w:t>
      </w:r>
      <w:proofErr w:type="spellEnd"/>
      <w:r w:rsidRPr="00B53AC1">
        <w:rPr>
          <w:rFonts w:ascii="Times New Roman" w:hAnsi="Times New Roman" w:cs="Times New Roman"/>
          <w:sz w:val="24"/>
          <w:szCs w:val="24"/>
        </w:rPr>
        <w:t xml:space="preserve"> Czech </w:t>
      </w:r>
      <w:proofErr w:type="spellStart"/>
      <w:r w:rsidRPr="00B53AC1">
        <w:rPr>
          <w:rFonts w:ascii="Times New Roman" w:hAnsi="Times New Roman" w:cs="Times New Roman"/>
          <w:sz w:val="24"/>
          <w:szCs w:val="24"/>
        </w:rPr>
        <w:t>schoolchildren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over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the</w:t>
      </w:r>
      <w:proofErr w:type="spellEnd"/>
      <w:r w:rsidRPr="00B53AC1">
        <w:rPr>
          <w:rFonts w:ascii="Times New Roman" w:hAnsi="Times New Roman" w:cs="Times New Roman"/>
          <w:sz w:val="24"/>
          <w:szCs w:val="24"/>
        </w:rPr>
        <w:t xml:space="preserve"> Last 20 </w:t>
      </w:r>
      <w:proofErr w:type="spellStart"/>
      <w:r w:rsidRPr="00B53AC1">
        <w:rPr>
          <w:rFonts w:ascii="Times New Roman" w:hAnsi="Times New Roman" w:cs="Times New Roman"/>
          <w:sz w:val="24"/>
          <w:szCs w:val="24"/>
        </w:rPr>
        <w:t>years</w:t>
      </w:r>
      <w:proofErr w:type="spellEnd"/>
      <w:r w:rsidRPr="00B53AC1">
        <w:rPr>
          <w:rFonts w:ascii="Times New Roman" w:hAnsi="Times New Roman" w:cs="Times New Roman"/>
          <w:sz w:val="24"/>
          <w:szCs w:val="24"/>
        </w:rPr>
        <w:t xml:space="preserve">. </w:t>
      </w:r>
      <w:proofErr w:type="spellStart"/>
      <w:r w:rsidRPr="00B53AC1">
        <w:rPr>
          <w:rFonts w:ascii="Times New Roman" w:eastAsia="Times New Roman" w:hAnsi="Times New Roman" w:cs="Times New Roman"/>
          <w:i/>
          <w:sz w:val="24"/>
          <w:szCs w:val="24"/>
        </w:rPr>
        <w:t>Central</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European</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Journal</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of</w:t>
      </w:r>
      <w:proofErr w:type="spellEnd"/>
      <w:r w:rsidRPr="00B53AC1">
        <w:rPr>
          <w:rFonts w:ascii="Times New Roman" w:eastAsia="Times New Roman" w:hAnsi="Times New Roman" w:cs="Times New Roman"/>
          <w:i/>
          <w:sz w:val="24"/>
          <w:szCs w:val="24"/>
        </w:rPr>
        <w:t xml:space="preserve"> Public </w:t>
      </w:r>
      <w:proofErr w:type="spellStart"/>
      <w:r w:rsidRPr="00B53AC1">
        <w:rPr>
          <w:rFonts w:ascii="Times New Roman" w:eastAsia="Times New Roman" w:hAnsi="Times New Roman" w:cs="Times New Roman"/>
          <w:i/>
          <w:sz w:val="24"/>
          <w:szCs w:val="24"/>
        </w:rPr>
        <w:t>Health</w:t>
      </w:r>
      <w:proofErr w:type="spellEnd"/>
      <w:r w:rsidRPr="00B53AC1">
        <w:rPr>
          <w:rFonts w:ascii="Times New Roman" w:hAnsi="Times New Roman" w:cs="Times New Roman"/>
          <w:i/>
          <w:sz w:val="24"/>
          <w:szCs w:val="24"/>
        </w:rPr>
        <w:t>, 11</w:t>
      </w:r>
      <w:r w:rsidRPr="00B53AC1">
        <w:rPr>
          <w:rFonts w:ascii="Times New Roman" w:hAnsi="Times New Roman" w:cs="Times New Roman"/>
          <w:sz w:val="24"/>
          <w:szCs w:val="24"/>
        </w:rPr>
        <w:t xml:space="preserve">(23) </w:t>
      </w:r>
      <w:proofErr w:type="spellStart"/>
      <w:r w:rsidRPr="00B53AC1">
        <w:rPr>
          <w:rFonts w:ascii="Times New Roman" w:hAnsi="Times New Roman" w:cs="Times New Roman"/>
          <w:sz w:val="24"/>
          <w:szCs w:val="24"/>
        </w:rPr>
        <w:t>Suppl</w:t>
      </w:r>
      <w:proofErr w:type="spellEnd"/>
      <w:r w:rsidRPr="00B53AC1">
        <w:rPr>
          <w:rFonts w:ascii="Times New Roman" w:hAnsi="Times New Roman" w:cs="Times New Roman"/>
          <w:sz w:val="24"/>
          <w:szCs w:val="24"/>
        </w:rPr>
        <w:t xml:space="preserve">, 9–13.  </w:t>
      </w:r>
    </w:p>
    <w:p w14:paraId="6D0AED3F"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Nasreddine</w:t>
      </w:r>
      <w:proofErr w:type="spellEnd"/>
      <w:r w:rsidRPr="00B53AC1">
        <w:rPr>
          <w:rFonts w:ascii="Times New Roman" w:hAnsi="Times New Roman" w:cs="Times New Roman"/>
          <w:sz w:val="24"/>
          <w:szCs w:val="24"/>
        </w:rPr>
        <w:t xml:space="preserve">, L., </w:t>
      </w:r>
      <w:proofErr w:type="spellStart"/>
      <w:r w:rsidRPr="00B53AC1">
        <w:rPr>
          <w:rFonts w:ascii="Times New Roman" w:hAnsi="Times New Roman" w:cs="Times New Roman"/>
          <w:sz w:val="24"/>
          <w:szCs w:val="24"/>
        </w:rPr>
        <w:t>Naja</w:t>
      </w:r>
      <w:proofErr w:type="spellEnd"/>
      <w:r w:rsidRPr="00B53AC1">
        <w:rPr>
          <w:rFonts w:ascii="Times New Roman" w:hAnsi="Times New Roman" w:cs="Times New Roman"/>
          <w:sz w:val="24"/>
          <w:szCs w:val="24"/>
        </w:rPr>
        <w:t xml:space="preserve">, F., </w:t>
      </w:r>
      <w:proofErr w:type="spellStart"/>
      <w:r w:rsidRPr="00B53AC1">
        <w:rPr>
          <w:rFonts w:ascii="Times New Roman" w:hAnsi="Times New Roman" w:cs="Times New Roman"/>
          <w:sz w:val="24"/>
          <w:szCs w:val="24"/>
        </w:rPr>
        <w:t>Chamieh</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Adra</w:t>
      </w:r>
      <w:proofErr w:type="spellEnd"/>
      <w:r w:rsidRPr="00B53AC1">
        <w:rPr>
          <w:rFonts w:ascii="Times New Roman" w:hAnsi="Times New Roman" w:cs="Times New Roman"/>
          <w:sz w:val="24"/>
          <w:szCs w:val="24"/>
        </w:rPr>
        <w:t xml:space="preserve">, N., </w:t>
      </w:r>
      <w:proofErr w:type="spellStart"/>
      <w:r w:rsidRPr="00B53AC1">
        <w:rPr>
          <w:rFonts w:ascii="Times New Roman" w:hAnsi="Times New Roman" w:cs="Times New Roman"/>
          <w:sz w:val="24"/>
          <w:szCs w:val="24"/>
        </w:rPr>
        <w:t>Sibai</w:t>
      </w:r>
      <w:proofErr w:type="spellEnd"/>
      <w:r w:rsidRPr="00B53AC1">
        <w:rPr>
          <w:rFonts w:ascii="Times New Roman" w:hAnsi="Times New Roman" w:cs="Times New Roman"/>
          <w:sz w:val="24"/>
          <w:szCs w:val="24"/>
        </w:rPr>
        <w:t xml:space="preserve">, A. M., &amp; </w:t>
      </w:r>
      <w:proofErr w:type="spellStart"/>
      <w:r w:rsidRPr="00B53AC1">
        <w:rPr>
          <w:rFonts w:ascii="Times New Roman" w:hAnsi="Times New Roman" w:cs="Times New Roman"/>
          <w:sz w:val="24"/>
          <w:szCs w:val="24"/>
        </w:rPr>
        <w:t>Hwalla</w:t>
      </w:r>
      <w:proofErr w:type="spellEnd"/>
      <w:r w:rsidRPr="00B53AC1">
        <w:rPr>
          <w:rFonts w:ascii="Times New Roman" w:hAnsi="Times New Roman" w:cs="Times New Roman"/>
          <w:sz w:val="24"/>
          <w:szCs w:val="24"/>
        </w:rPr>
        <w:t xml:space="preserve">, N. (2012). </w:t>
      </w:r>
      <w:proofErr w:type="spellStart"/>
      <w:r w:rsidRPr="00B53AC1">
        <w:rPr>
          <w:rFonts w:ascii="Times New Roman" w:hAnsi="Times New Roman" w:cs="Times New Roman"/>
          <w:sz w:val="24"/>
          <w:szCs w:val="24"/>
        </w:rPr>
        <w:t>Trends</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overweight</w:t>
      </w:r>
      <w:proofErr w:type="spellEnd"/>
      <w:r w:rsidRPr="00B53AC1">
        <w:rPr>
          <w:rFonts w:ascii="Times New Roman" w:hAnsi="Times New Roman" w:cs="Times New Roman"/>
          <w:sz w:val="24"/>
          <w:szCs w:val="24"/>
        </w:rPr>
        <w:t xml:space="preserve"> and obesity in </w:t>
      </w:r>
      <w:proofErr w:type="spellStart"/>
      <w:r w:rsidRPr="00B53AC1">
        <w:rPr>
          <w:rFonts w:ascii="Times New Roman" w:hAnsi="Times New Roman" w:cs="Times New Roman"/>
          <w:sz w:val="24"/>
          <w:szCs w:val="24"/>
        </w:rPr>
        <w:t>Lebanon</w:t>
      </w:r>
      <w:proofErr w:type="spellEnd"/>
      <w:r w:rsidRPr="00B53AC1">
        <w:rPr>
          <w:rFonts w:ascii="Times New Roman" w:hAnsi="Times New Roman" w:cs="Times New Roman"/>
          <w:sz w:val="24"/>
          <w:szCs w:val="24"/>
        </w:rPr>
        <w:t xml:space="preserve">: evidence </w:t>
      </w:r>
      <w:proofErr w:type="spellStart"/>
      <w:r w:rsidRPr="00B53AC1">
        <w:rPr>
          <w:rFonts w:ascii="Times New Roman" w:hAnsi="Times New Roman" w:cs="Times New Roman"/>
          <w:sz w:val="24"/>
          <w:szCs w:val="24"/>
        </w:rPr>
        <w:t>from</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two</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national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cross-sectional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surveys</w:t>
      </w:r>
      <w:proofErr w:type="spellEnd"/>
      <w:r w:rsidRPr="00B53AC1">
        <w:rPr>
          <w:rFonts w:ascii="Times New Roman" w:hAnsi="Times New Roman" w:cs="Times New Roman"/>
          <w:sz w:val="24"/>
          <w:szCs w:val="24"/>
        </w:rPr>
        <w:t xml:space="preserve"> (1997 and 2009). </w:t>
      </w:r>
      <w:r w:rsidRPr="00B53AC1">
        <w:rPr>
          <w:rFonts w:ascii="Times New Roman" w:hAnsi="Times New Roman" w:cs="Times New Roman"/>
          <w:i/>
          <w:sz w:val="24"/>
          <w:szCs w:val="24"/>
        </w:rPr>
        <w:t xml:space="preserve">BMC Public </w:t>
      </w:r>
      <w:proofErr w:type="spellStart"/>
      <w:r w:rsidRPr="00B53AC1">
        <w:rPr>
          <w:rFonts w:ascii="Times New Roman" w:hAnsi="Times New Roman" w:cs="Times New Roman"/>
          <w:i/>
          <w:sz w:val="24"/>
          <w:szCs w:val="24"/>
        </w:rPr>
        <w:t>Health</w:t>
      </w:r>
      <w:proofErr w:type="spellEnd"/>
      <w:r w:rsidRPr="00B53AC1">
        <w:rPr>
          <w:rFonts w:ascii="Times New Roman" w:hAnsi="Times New Roman" w:cs="Times New Roman"/>
          <w:i/>
          <w:sz w:val="24"/>
          <w:szCs w:val="24"/>
        </w:rPr>
        <w:t>, 12</w:t>
      </w:r>
      <w:r w:rsidRPr="00B53AC1">
        <w:rPr>
          <w:rFonts w:ascii="Times New Roman" w:hAnsi="Times New Roman" w:cs="Times New Roman"/>
          <w:sz w:val="24"/>
          <w:szCs w:val="24"/>
        </w:rPr>
        <w:t xml:space="preserve">(1), 798. </w:t>
      </w:r>
      <w:proofErr w:type="spellStart"/>
      <w:r w:rsidRPr="00B53AC1">
        <w:rPr>
          <w:rFonts w:ascii="Times New Roman" w:hAnsi="Times New Roman" w:cs="Times New Roman"/>
          <w:sz w:val="24"/>
          <w:szCs w:val="24"/>
        </w:rPr>
        <w:t>doi</w:t>
      </w:r>
      <w:proofErr w:type="spellEnd"/>
      <w:r w:rsidRPr="00B53AC1">
        <w:rPr>
          <w:rFonts w:ascii="Times New Roman" w:hAnsi="Times New Roman" w:cs="Times New Roman"/>
          <w:sz w:val="24"/>
          <w:szCs w:val="24"/>
        </w:rPr>
        <w:t>: 10.1186/1471-2458-12-798</w:t>
      </w:r>
    </w:p>
    <w:p w14:paraId="573C7362" w14:textId="77777777" w:rsidR="001A515A"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Ogden</w:t>
      </w:r>
      <w:proofErr w:type="spellEnd"/>
      <w:r w:rsidRPr="00B53AC1">
        <w:rPr>
          <w:rFonts w:ascii="Times New Roman" w:hAnsi="Times New Roman" w:cs="Times New Roman"/>
          <w:sz w:val="24"/>
          <w:szCs w:val="24"/>
        </w:rPr>
        <w:t xml:space="preserve">, C. L., </w:t>
      </w:r>
      <w:proofErr w:type="spellStart"/>
      <w:r w:rsidRPr="00B53AC1">
        <w:rPr>
          <w:rFonts w:ascii="Times New Roman" w:hAnsi="Times New Roman" w:cs="Times New Roman"/>
          <w:sz w:val="24"/>
          <w:szCs w:val="24"/>
        </w:rPr>
        <w:t>Carroll</w:t>
      </w:r>
      <w:proofErr w:type="spellEnd"/>
      <w:r w:rsidRPr="00B53AC1">
        <w:rPr>
          <w:rFonts w:ascii="Times New Roman" w:hAnsi="Times New Roman" w:cs="Times New Roman"/>
          <w:sz w:val="24"/>
          <w:szCs w:val="24"/>
        </w:rPr>
        <w:t xml:space="preserve">, M. D., </w:t>
      </w:r>
      <w:proofErr w:type="spellStart"/>
      <w:r w:rsidRPr="00B53AC1">
        <w:rPr>
          <w:rFonts w:ascii="Times New Roman" w:hAnsi="Times New Roman" w:cs="Times New Roman"/>
          <w:sz w:val="24"/>
          <w:szCs w:val="24"/>
        </w:rPr>
        <w:t>Kit</w:t>
      </w:r>
      <w:proofErr w:type="spellEnd"/>
      <w:r w:rsidRPr="00B53AC1">
        <w:rPr>
          <w:rFonts w:ascii="Times New Roman" w:hAnsi="Times New Roman" w:cs="Times New Roman"/>
          <w:sz w:val="24"/>
          <w:szCs w:val="24"/>
        </w:rPr>
        <w:t xml:space="preserve">, B. K., &amp; </w:t>
      </w:r>
      <w:proofErr w:type="spellStart"/>
      <w:r w:rsidRPr="00B53AC1">
        <w:rPr>
          <w:rFonts w:ascii="Times New Roman" w:hAnsi="Times New Roman" w:cs="Times New Roman"/>
          <w:sz w:val="24"/>
          <w:szCs w:val="24"/>
        </w:rPr>
        <w:t>Flegal</w:t>
      </w:r>
      <w:proofErr w:type="spellEnd"/>
      <w:r w:rsidRPr="00B53AC1">
        <w:rPr>
          <w:rFonts w:ascii="Times New Roman" w:hAnsi="Times New Roman" w:cs="Times New Roman"/>
          <w:sz w:val="24"/>
          <w:szCs w:val="24"/>
        </w:rPr>
        <w:t xml:space="preserve">, K. M. (2012). Prevalence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obesity and </w:t>
      </w:r>
      <w:proofErr w:type="spellStart"/>
      <w:r w:rsidRPr="00B53AC1">
        <w:rPr>
          <w:rFonts w:ascii="Times New Roman" w:hAnsi="Times New Roman" w:cs="Times New Roman"/>
          <w:sz w:val="24"/>
          <w:szCs w:val="24"/>
        </w:rPr>
        <w:t>trends</w:t>
      </w:r>
      <w:proofErr w:type="spellEnd"/>
      <w:r w:rsidRPr="00B53AC1">
        <w:rPr>
          <w:rFonts w:ascii="Times New Roman" w:hAnsi="Times New Roman" w:cs="Times New Roman"/>
          <w:sz w:val="24"/>
          <w:szCs w:val="24"/>
        </w:rPr>
        <w:t xml:space="preserve"> in body </w:t>
      </w:r>
      <w:proofErr w:type="spellStart"/>
      <w:r w:rsidRPr="00B53AC1">
        <w:rPr>
          <w:rFonts w:ascii="Times New Roman" w:hAnsi="Times New Roman" w:cs="Times New Roman"/>
          <w:sz w:val="24"/>
          <w:szCs w:val="24"/>
        </w:rPr>
        <w:t>mass</w:t>
      </w:r>
      <w:proofErr w:type="spellEnd"/>
      <w:r w:rsidRPr="00B53AC1">
        <w:rPr>
          <w:rFonts w:ascii="Times New Roman" w:hAnsi="Times New Roman" w:cs="Times New Roman"/>
          <w:sz w:val="24"/>
          <w:szCs w:val="24"/>
        </w:rPr>
        <w:t xml:space="preserve"> index </w:t>
      </w:r>
      <w:proofErr w:type="spellStart"/>
      <w:r w:rsidRPr="00B53AC1">
        <w:rPr>
          <w:rFonts w:ascii="Times New Roman" w:hAnsi="Times New Roman" w:cs="Times New Roman"/>
          <w:sz w:val="24"/>
          <w:szCs w:val="24"/>
        </w:rPr>
        <w:t>among</w:t>
      </w:r>
      <w:proofErr w:type="spellEnd"/>
      <w:r w:rsidRPr="00B53AC1">
        <w:rPr>
          <w:rFonts w:ascii="Times New Roman" w:hAnsi="Times New Roman" w:cs="Times New Roman"/>
          <w:sz w:val="24"/>
          <w:szCs w:val="24"/>
        </w:rPr>
        <w:t xml:space="preserve"> US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adolescents</w:t>
      </w:r>
      <w:proofErr w:type="spellEnd"/>
      <w:r w:rsidRPr="00B53AC1">
        <w:rPr>
          <w:rFonts w:ascii="Times New Roman" w:hAnsi="Times New Roman" w:cs="Times New Roman"/>
          <w:sz w:val="24"/>
          <w:szCs w:val="24"/>
        </w:rPr>
        <w:t xml:space="preserve">, 1999-2010. </w:t>
      </w:r>
      <w:r w:rsidRPr="00B53AC1">
        <w:rPr>
          <w:rFonts w:ascii="Times New Roman" w:hAnsi="Times New Roman" w:cs="Times New Roman"/>
          <w:i/>
          <w:sz w:val="24"/>
          <w:szCs w:val="24"/>
        </w:rPr>
        <w:t xml:space="preserve">J </w:t>
      </w:r>
      <w:proofErr w:type="spellStart"/>
      <w:r w:rsidRPr="00B53AC1">
        <w:rPr>
          <w:rFonts w:ascii="Times New Roman" w:hAnsi="Times New Roman" w:cs="Times New Roman"/>
          <w:i/>
          <w:sz w:val="24"/>
          <w:szCs w:val="24"/>
        </w:rPr>
        <w:t>Am</w:t>
      </w:r>
      <w:proofErr w:type="spellEnd"/>
      <w:r w:rsidRPr="00B53AC1">
        <w:rPr>
          <w:rFonts w:ascii="Times New Roman" w:hAnsi="Times New Roman" w:cs="Times New Roman"/>
          <w:i/>
          <w:sz w:val="24"/>
          <w:szCs w:val="24"/>
        </w:rPr>
        <w:t xml:space="preserve"> Med </w:t>
      </w:r>
      <w:proofErr w:type="spellStart"/>
      <w:r w:rsidRPr="00B53AC1">
        <w:rPr>
          <w:rFonts w:ascii="Times New Roman" w:hAnsi="Times New Roman" w:cs="Times New Roman"/>
          <w:i/>
          <w:sz w:val="24"/>
          <w:szCs w:val="24"/>
        </w:rPr>
        <w:t>Assoc</w:t>
      </w:r>
      <w:proofErr w:type="spellEnd"/>
      <w:r w:rsidRPr="00B53AC1">
        <w:rPr>
          <w:rFonts w:ascii="Times New Roman" w:hAnsi="Times New Roman" w:cs="Times New Roman"/>
          <w:i/>
          <w:sz w:val="24"/>
          <w:szCs w:val="24"/>
        </w:rPr>
        <w:t>, 307</w:t>
      </w:r>
      <w:r w:rsidRPr="00B53AC1">
        <w:rPr>
          <w:rFonts w:ascii="Times New Roman" w:hAnsi="Times New Roman" w:cs="Times New Roman"/>
          <w:sz w:val="24"/>
          <w:szCs w:val="24"/>
        </w:rPr>
        <w:t>(5), 483</w:t>
      </w:r>
      <w:r w:rsidRPr="00B53AC1">
        <w:rPr>
          <w:rFonts w:ascii="Times New Roman" w:hAnsi="Times New Roman" w:cs="Times New Roman"/>
          <w:noProof/>
          <w:sz w:val="24"/>
          <w:szCs w:val="24"/>
        </w:rPr>
        <w:t>–</w:t>
      </w:r>
      <w:r w:rsidRPr="00B53AC1">
        <w:rPr>
          <w:rFonts w:ascii="Times New Roman" w:hAnsi="Times New Roman" w:cs="Times New Roman"/>
          <w:sz w:val="24"/>
          <w:szCs w:val="24"/>
        </w:rPr>
        <w:t xml:space="preserve">490. </w:t>
      </w:r>
      <w:proofErr w:type="spellStart"/>
      <w:r w:rsidRPr="00B53AC1">
        <w:rPr>
          <w:rFonts w:ascii="Times New Roman" w:hAnsi="Times New Roman" w:cs="Times New Roman"/>
          <w:sz w:val="24"/>
          <w:szCs w:val="24"/>
        </w:rPr>
        <w:t>doi</w:t>
      </w:r>
      <w:proofErr w:type="spellEnd"/>
      <w:r w:rsidRPr="00B53AC1">
        <w:rPr>
          <w:rFonts w:ascii="Times New Roman" w:hAnsi="Times New Roman" w:cs="Times New Roman"/>
          <w:sz w:val="24"/>
          <w:szCs w:val="24"/>
        </w:rPr>
        <w:t>: 10.1001/jama.2012.40</w:t>
      </w:r>
    </w:p>
    <w:p w14:paraId="45236D37"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Pařízková, J. (2015). </w:t>
      </w:r>
      <w:proofErr w:type="spellStart"/>
      <w:r w:rsidRPr="00B53AC1">
        <w:rPr>
          <w:rFonts w:ascii="Times New Roman" w:hAnsi="Times New Roman" w:cs="Times New Roman"/>
          <w:bCs/>
          <w:i/>
          <w:iCs/>
          <w:sz w:val="24"/>
          <w:szCs w:val="24"/>
        </w:rPr>
        <w:t>Physical</w:t>
      </w:r>
      <w:proofErr w:type="spellEnd"/>
      <w:r w:rsidRPr="00B53AC1">
        <w:rPr>
          <w:rFonts w:ascii="Times New Roman" w:hAnsi="Times New Roman" w:cs="Times New Roman"/>
          <w:bCs/>
          <w:i/>
          <w:iCs/>
          <w:sz w:val="24"/>
          <w:szCs w:val="24"/>
        </w:rPr>
        <w:t xml:space="preserve"> </w:t>
      </w:r>
      <w:proofErr w:type="spellStart"/>
      <w:r w:rsidRPr="00B53AC1">
        <w:rPr>
          <w:rFonts w:ascii="Times New Roman" w:hAnsi="Times New Roman" w:cs="Times New Roman"/>
          <w:bCs/>
          <w:i/>
          <w:iCs/>
          <w:sz w:val="24"/>
          <w:szCs w:val="24"/>
        </w:rPr>
        <w:t>Activity</w:t>
      </w:r>
      <w:proofErr w:type="spellEnd"/>
      <w:r w:rsidRPr="00B53AC1">
        <w:rPr>
          <w:rFonts w:ascii="Times New Roman" w:hAnsi="Times New Roman" w:cs="Times New Roman"/>
          <w:bCs/>
          <w:i/>
          <w:iCs/>
          <w:sz w:val="24"/>
          <w:szCs w:val="24"/>
        </w:rPr>
        <w:t xml:space="preserve">, Fitness, </w:t>
      </w:r>
      <w:proofErr w:type="spellStart"/>
      <w:r w:rsidRPr="00B53AC1">
        <w:rPr>
          <w:rFonts w:ascii="Times New Roman" w:hAnsi="Times New Roman" w:cs="Times New Roman"/>
          <w:bCs/>
          <w:i/>
          <w:iCs/>
          <w:sz w:val="24"/>
          <w:szCs w:val="24"/>
        </w:rPr>
        <w:t>Nutrition</w:t>
      </w:r>
      <w:proofErr w:type="spellEnd"/>
      <w:r w:rsidRPr="00B53AC1">
        <w:rPr>
          <w:rFonts w:ascii="Times New Roman" w:hAnsi="Times New Roman" w:cs="Times New Roman"/>
          <w:bCs/>
          <w:i/>
          <w:iCs/>
          <w:sz w:val="24"/>
          <w:szCs w:val="24"/>
        </w:rPr>
        <w:t xml:space="preserve"> and Obesity </w:t>
      </w:r>
      <w:proofErr w:type="spellStart"/>
      <w:r w:rsidRPr="00B53AC1">
        <w:rPr>
          <w:rFonts w:ascii="Times New Roman" w:hAnsi="Times New Roman" w:cs="Times New Roman"/>
          <w:bCs/>
          <w:i/>
          <w:iCs/>
          <w:sz w:val="24"/>
          <w:szCs w:val="24"/>
        </w:rPr>
        <w:t>During</w:t>
      </w:r>
      <w:proofErr w:type="spellEnd"/>
      <w:r w:rsidRPr="00B53AC1">
        <w:rPr>
          <w:rFonts w:ascii="Times New Roman" w:hAnsi="Times New Roman" w:cs="Times New Roman"/>
          <w:bCs/>
          <w:i/>
          <w:iCs/>
          <w:sz w:val="24"/>
          <w:szCs w:val="24"/>
        </w:rPr>
        <w:t xml:space="preserve"> </w:t>
      </w:r>
      <w:proofErr w:type="spellStart"/>
      <w:r w:rsidRPr="00B53AC1">
        <w:rPr>
          <w:rFonts w:ascii="Times New Roman" w:hAnsi="Times New Roman" w:cs="Times New Roman"/>
          <w:bCs/>
          <w:i/>
          <w:iCs/>
          <w:sz w:val="24"/>
          <w:szCs w:val="24"/>
        </w:rPr>
        <w:t>Growth</w:t>
      </w:r>
      <w:proofErr w:type="spellEnd"/>
      <w:r w:rsidRPr="00B53AC1">
        <w:rPr>
          <w:rFonts w:ascii="Times New Roman" w:hAnsi="Times New Roman" w:cs="Times New Roman"/>
          <w:bCs/>
          <w:sz w:val="24"/>
          <w:szCs w:val="24"/>
        </w:rPr>
        <w:t xml:space="preserve">, </w:t>
      </w:r>
      <w:proofErr w:type="spellStart"/>
      <w:r w:rsidRPr="00B53AC1">
        <w:rPr>
          <w:rFonts w:ascii="Times New Roman" w:hAnsi="Times New Roman" w:cs="Times New Roman"/>
          <w:bCs/>
          <w:sz w:val="24"/>
          <w:szCs w:val="24"/>
        </w:rPr>
        <w:t>BenthamBooks</w:t>
      </w:r>
      <w:proofErr w:type="spellEnd"/>
      <w:r w:rsidRPr="00B53AC1">
        <w:rPr>
          <w:rFonts w:ascii="Times New Roman" w:hAnsi="Times New Roman" w:cs="Times New Roman"/>
          <w:bCs/>
          <w:sz w:val="24"/>
          <w:szCs w:val="24"/>
        </w:rPr>
        <w:t>.</w:t>
      </w:r>
      <w:r w:rsidRPr="00B53AC1">
        <w:rPr>
          <w:rFonts w:ascii="Times New Roman" w:hAnsi="Times New Roman" w:cs="Times New Roman"/>
          <w:b/>
          <w:bCs/>
          <w:sz w:val="24"/>
          <w:szCs w:val="24"/>
        </w:rPr>
        <w:t xml:space="preserve"> </w:t>
      </w:r>
      <w:proofErr w:type="spellStart"/>
      <w:r w:rsidRPr="00B53AC1">
        <w:rPr>
          <w:rStyle w:val="Siln"/>
          <w:rFonts w:ascii="Times New Roman" w:hAnsi="Times New Roman" w:cs="Times New Roman"/>
          <w:b w:val="0"/>
          <w:sz w:val="24"/>
          <w:szCs w:val="24"/>
          <w:shd w:val="clear" w:color="auto" w:fill="FFFFFF"/>
        </w:rPr>
        <w:t>doi</w:t>
      </w:r>
      <w:proofErr w:type="spellEnd"/>
      <w:r w:rsidRPr="00B53AC1">
        <w:rPr>
          <w:rStyle w:val="Siln"/>
          <w:rFonts w:ascii="Times New Roman" w:hAnsi="Times New Roman" w:cs="Times New Roman"/>
          <w:sz w:val="24"/>
          <w:szCs w:val="24"/>
          <w:shd w:val="clear" w:color="auto" w:fill="FFFFFF"/>
        </w:rPr>
        <w:t>:</w:t>
      </w:r>
      <w:r w:rsidRPr="00B53AC1">
        <w:rPr>
          <w:rStyle w:val="apple-converted-space"/>
          <w:rFonts w:ascii="Times New Roman" w:hAnsi="Times New Roman" w:cs="Times New Roman"/>
          <w:sz w:val="24"/>
          <w:szCs w:val="24"/>
          <w:shd w:val="clear" w:color="auto" w:fill="FFFFFF"/>
        </w:rPr>
        <w:t> </w:t>
      </w:r>
      <w:r w:rsidRPr="00B53AC1">
        <w:rPr>
          <w:rFonts w:ascii="Times New Roman" w:hAnsi="Times New Roman" w:cs="Times New Roman"/>
          <w:sz w:val="24"/>
          <w:szCs w:val="24"/>
          <w:shd w:val="clear" w:color="auto" w:fill="FFFFFF"/>
        </w:rPr>
        <w:t>10.2174/97816080594611140101</w:t>
      </w:r>
    </w:p>
    <w:p w14:paraId="7B219F0F" w14:textId="77777777" w:rsidR="001A515A" w:rsidRPr="00381CA3" w:rsidRDefault="001A515A" w:rsidP="001A515A">
      <w:pPr>
        <w:pStyle w:val="Bezmezer"/>
        <w:spacing w:line="276" w:lineRule="auto"/>
        <w:ind w:left="284" w:hanging="284"/>
        <w:jc w:val="both"/>
        <w:rPr>
          <w:rFonts w:ascii="Times New Roman" w:hAnsi="Times New Roman" w:cs="Times New Roman"/>
          <w:sz w:val="24"/>
          <w:szCs w:val="24"/>
        </w:rPr>
      </w:pPr>
      <w:r w:rsidRPr="00381CA3">
        <w:rPr>
          <w:rFonts w:ascii="Times New Roman" w:hAnsi="Times New Roman" w:cs="Times New Roman"/>
          <w:sz w:val="24"/>
          <w:szCs w:val="24"/>
        </w:rPr>
        <w:t>Pařízková</w:t>
      </w:r>
      <w:r>
        <w:rPr>
          <w:rFonts w:ascii="Times New Roman" w:hAnsi="Times New Roman" w:cs="Times New Roman"/>
          <w:sz w:val="24"/>
          <w:szCs w:val="24"/>
        </w:rPr>
        <w:t>,</w:t>
      </w:r>
      <w:r w:rsidRPr="00381CA3">
        <w:rPr>
          <w:rFonts w:ascii="Times New Roman" w:hAnsi="Times New Roman" w:cs="Times New Roman"/>
          <w:sz w:val="24"/>
          <w:szCs w:val="24"/>
        </w:rPr>
        <w:t xml:space="preserve"> J</w:t>
      </w:r>
      <w:r>
        <w:rPr>
          <w:rFonts w:ascii="Times New Roman" w:hAnsi="Times New Roman" w:cs="Times New Roman"/>
          <w:sz w:val="24"/>
          <w:szCs w:val="24"/>
        </w:rPr>
        <w:t>.</w:t>
      </w:r>
      <w:r w:rsidRPr="00381CA3">
        <w:rPr>
          <w:rFonts w:ascii="Times New Roman" w:hAnsi="Times New Roman" w:cs="Times New Roman"/>
          <w:sz w:val="24"/>
          <w:szCs w:val="24"/>
        </w:rPr>
        <w:t xml:space="preserve">, </w:t>
      </w:r>
      <w:proofErr w:type="spellStart"/>
      <w:r w:rsidRPr="00381CA3">
        <w:rPr>
          <w:rFonts w:ascii="Times New Roman" w:hAnsi="Times New Roman" w:cs="Times New Roman"/>
          <w:sz w:val="24"/>
          <w:szCs w:val="24"/>
        </w:rPr>
        <w:t>Sedlak</w:t>
      </w:r>
      <w:proofErr w:type="spellEnd"/>
      <w:r>
        <w:rPr>
          <w:rFonts w:ascii="Times New Roman" w:hAnsi="Times New Roman" w:cs="Times New Roman"/>
          <w:sz w:val="24"/>
          <w:szCs w:val="24"/>
        </w:rPr>
        <w:t>,</w:t>
      </w:r>
      <w:r w:rsidRPr="00381CA3">
        <w:rPr>
          <w:rFonts w:ascii="Times New Roman" w:hAnsi="Times New Roman" w:cs="Times New Roman"/>
          <w:sz w:val="24"/>
          <w:szCs w:val="24"/>
        </w:rPr>
        <w:t xml:space="preserve"> P</w:t>
      </w:r>
      <w:r>
        <w:rPr>
          <w:rFonts w:ascii="Times New Roman" w:hAnsi="Times New Roman" w:cs="Times New Roman"/>
          <w:sz w:val="24"/>
          <w:szCs w:val="24"/>
        </w:rPr>
        <w:t>.</w:t>
      </w:r>
      <w:r w:rsidRPr="00381CA3">
        <w:rPr>
          <w:rFonts w:ascii="Times New Roman" w:hAnsi="Times New Roman" w:cs="Times New Roman"/>
          <w:sz w:val="24"/>
          <w:szCs w:val="24"/>
        </w:rPr>
        <w:t>, Dvořáková</w:t>
      </w:r>
      <w:r>
        <w:rPr>
          <w:rFonts w:ascii="Times New Roman" w:hAnsi="Times New Roman" w:cs="Times New Roman"/>
          <w:sz w:val="24"/>
          <w:szCs w:val="24"/>
        </w:rPr>
        <w:t>,</w:t>
      </w:r>
      <w:r w:rsidRPr="00381CA3">
        <w:rPr>
          <w:rFonts w:ascii="Times New Roman" w:hAnsi="Times New Roman" w:cs="Times New Roman"/>
          <w:sz w:val="24"/>
          <w:szCs w:val="24"/>
        </w:rPr>
        <w:t xml:space="preserve"> H</w:t>
      </w:r>
      <w:r>
        <w:rPr>
          <w:rFonts w:ascii="Times New Roman" w:hAnsi="Times New Roman" w:cs="Times New Roman"/>
          <w:sz w:val="24"/>
          <w:szCs w:val="24"/>
        </w:rPr>
        <w:t>.</w:t>
      </w:r>
      <w:r w:rsidRPr="00381CA3">
        <w:rPr>
          <w:rFonts w:ascii="Times New Roman" w:hAnsi="Times New Roman" w:cs="Times New Roman"/>
          <w:sz w:val="24"/>
          <w:szCs w:val="24"/>
        </w:rPr>
        <w:t>, Lisá</w:t>
      </w:r>
      <w:r>
        <w:rPr>
          <w:rFonts w:ascii="Times New Roman" w:hAnsi="Times New Roman" w:cs="Times New Roman"/>
          <w:sz w:val="24"/>
          <w:szCs w:val="24"/>
        </w:rPr>
        <w:t>,</w:t>
      </w:r>
      <w:r w:rsidRPr="00381CA3">
        <w:rPr>
          <w:rFonts w:ascii="Times New Roman" w:hAnsi="Times New Roman" w:cs="Times New Roman"/>
          <w:sz w:val="24"/>
          <w:szCs w:val="24"/>
        </w:rPr>
        <w:t xml:space="preserve"> L</w:t>
      </w:r>
      <w:r>
        <w:rPr>
          <w:rFonts w:ascii="Times New Roman" w:hAnsi="Times New Roman" w:cs="Times New Roman"/>
          <w:sz w:val="24"/>
          <w:szCs w:val="24"/>
        </w:rPr>
        <w:t>.</w:t>
      </w:r>
      <w:r w:rsidRPr="00381CA3">
        <w:rPr>
          <w:rFonts w:ascii="Times New Roman" w:hAnsi="Times New Roman" w:cs="Times New Roman"/>
          <w:sz w:val="24"/>
          <w:szCs w:val="24"/>
        </w:rPr>
        <w:t>,</w:t>
      </w:r>
      <w:r>
        <w:rPr>
          <w:rFonts w:ascii="Times New Roman" w:hAnsi="Times New Roman" w:cs="Times New Roman"/>
          <w:sz w:val="24"/>
          <w:szCs w:val="24"/>
        </w:rPr>
        <w:t xml:space="preserve"> &amp;</w:t>
      </w:r>
      <w:r w:rsidRPr="00381CA3">
        <w:rPr>
          <w:rFonts w:ascii="Times New Roman" w:hAnsi="Times New Roman" w:cs="Times New Roman"/>
          <w:sz w:val="24"/>
          <w:szCs w:val="24"/>
        </w:rPr>
        <w:t xml:space="preserve"> Bláha</w:t>
      </w:r>
      <w:r>
        <w:rPr>
          <w:rFonts w:ascii="Times New Roman" w:hAnsi="Times New Roman" w:cs="Times New Roman"/>
          <w:sz w:val="24"/>
          <w:szCs w:val="24"/>
        </w:rPr>
        <w:t>,</w:t>
      </w:r>
      <w:r w:rsidRPr="00381CA3">
        <w:rPr>
          <w:rFonts w:ascii="Times New Roman" w:hAnsi="Times New Roman" w:cs="Times New Roman"/>
          <w:sz w:val="24"/>
          <w:szCs w:val="24"/>
        </w:rPr>
        <w:t xml:space="preserve"> P</w:t>
      </w:r>
      <w:r>
        <w:rPr>
          <w:rFonts w:ascii="Times New Roman" w:hAnsi="Times New Roman" w:cs="Times New Roman"/>
          <w:sz w:val="24"/>
          <w:szCs w:val="24"/>
        </w:rPr>
        <w:t>.</w:t>
      </w:r>
      <w:r w:rsidRPr="00381CA3">
        <w:rPr>
          <w:rFonts w:ascii="Times New Roman" w:hAnsi="Times New Roman" w:cs="Times New Roman"/>
          <w:sz w:val="24"/>
          <w:szCs w:val="24"/>
        </w:rPr>
        <w:t xml:space="preserve"> (2012)</w:t>
      </w:r>
      <w:r>
        <w:rPr>
          <w:rFonts w:ascii="Times New Roman" w:hAnsi="Times New Roman" w:cs="Times New Roman"/>
          <w:sz w:val="24"/>
          <w:szCs w:val="24"/>
        </w:rPr>
        <w:t>.</w:t>
      </w:r>
      <w:r w:rsidRPr="00381CA3">
        <w:rPr>
          <w:rFonts w:ascii="Times New Roman" w:hAnsi="Times New Roman" w:cs="Times New Roman"/>
          <w:sz w:val="24"/>
          <w:szCs w:val="24"/>
        </w:rPr>
        <w:t xml:space="preserve"> </w:t>
      </w:r>
      <w:proofErr w:type="spellStart"/>
      <w:r w:rsidRPr="00381CA3">
        <w:rPr>
          <w:rFonts w:ascii="Times New Roman" w:hAnsi="Times New Roman" w:cs="Times New Roman"/>
          <w:sz w:val="24"/>
          <w:szCs w:val="24"/>
        </w:rPr>
        <w:t>Secular</w:t>
      </w:r>
      <w:proofErr w:type="spellEnd"/>
      <w:r w:rsidRPr="00381CA3">
        <w:rPr>
          <w:rFonts w:ascii="Times New Roman" w:hAnsi="Times New Roman" w:cs="Times New Roman"/>
          <w:sz w:val="24"/>
          <w:szCs w:val="24"/>
        </w:rPr>
        <w:t xml:space="preserve"> </w:t>
      </w:r>
      <w:proofErr w:type="spellStart"/>
      <w:r w:rsidRPr="00381CA3">
        <w:rPr>
          <w:rFonts w:ascii="Times New Roman" w:hAnsi="Times New Roman" w:cs="Times New Roman"/>
          <w:sz w:val="24"/>
          <w:szCs w:val="24"/>
        </w:rPr>
        <w:t>Trends</w:t>
      </w:r>
      <w:proofErr w:type="spellEnd"/>
      <w:r w:rsidRPr="00381CA3">
        <w:rPr>
          <w:rFonts w:ascii="Times New Roman" w:hAnsi="Times New Roman" w:cs="Times New Roman"/>
          <w:sz w:val="24"/>
          <w:szCs w:val="24"/>
        </w:rPr>
        <w:t xml:space="preserve"> </w:t>
      </w:r>
      <w:proofErr w:type="spellStart"/>
      <w:r w:rsidRPr="00381CA3">
        <w:rPr>
          <w:rFonts w:ascii="Times New Roman" w:hAnsi="Times New Roman" w:cs="Times New Roman"/>
          <w:sz w:val="24"/>
          <w:szCs w:val="24"/>
        </w:rPr>
        <w:t>of</w:t>
      </w:r>
      <w:proofErr w:type="spellEnd"/>
      <w:r w:rsidRPr="00381CA3">
        <w:rPr>
          <w:rFonts w:ascii="Times New Roman" w:hAnsi="Times New Roman" w:cs="Times New Roman"/>
          <w:sz w:val="24"/>
          <w:szCs w:val="24"/>
        </w:rPr>
        <w:t xml:space="preserve"> </w:t>
      </w:r>
      <w:proofErr w:type="spellStart"/>
      <w:r w:rsidRPr="00381CA3">
        <w:rPr>
          <w:rFonts w:ascii="Times New Roman" w:hAnsi="Times New Roman" w:cs="Times New Roman"/>
          <w:sz w:val="24"/>
          <w:szCs w:val="24"/>
        </w:rPr>
        <w:t>Adiposity</w:t>
      </w:r>
      <w:proofErr w:type="spellEnd"/>
      <w:r w:rsidRPr="00381CA3">
        <w:rPr>
          <w:rFonts w:ascii="Times New Roman" w:hAnsi="Times New Roman" w:cs="Times New Roman"/>
          <w:sz w:val="24"/>
          <w:szCs w:val="24"/>
        </w:rPr>
        <w:t xml:space="preserve"> and Motor </w:t>
      </w:r>
      <w:proofErr w:type="spellStart"/>
      <w:r w:rsidRPr="00381CA3">
        <w:rPr>
          <w:rFonts w:ascii="Times New Roman" w:hAnsi="Times New Roman" w:cs="Times New Roman"/>
          <w:sz w:val="24"/>
          <w:szCs w:val="24"/>
        </w:rPr>
        <w:t>Abilities</w:t>
      </w:r>
      <w:proofErr w:type="spellEnd"/>
      <w:r w:rsidRPr="00381CA3">
        <w:rPr>
          <w:rFonts w:ascii="Times New Roman" w:hAnsi="Times New Roman" w:cs="Times New Roman"/>
          <w:sz w:val="24"/>
          <w:szCs w:val="24"/>
        </w:rPr>
        <w:t xml:space="preserve"> in </w:t>
      </w:r>
      <w:proofErr w:type="spellStart"/>
      <w:r w:rsidRPr="00381CA3">
        <w:rPr>
          <w:rFonts w:ascii="Times New Roman" w:hAnsi="Times New Roman" w:cs="Times New Roman"/>
          <w:sz w:val="24"/>
          <w:szCs w:val="24"/>
        </w:rPr>
        <w:t>Preschool</w:t>
      </w:r>
      <w:proofErr w:type="spellEnd"/>
      <w:r w:rsidRPr="00381CA3">
        <w:rPr>
          <w:rFonts w:ascii="Times New Roman" w:hAnsi="Times New Roman" w:cs="Times New Roman"/>
          <w:sz w:val="24"/>
          <w:szCs w:val="24"/>
        </w:rPr>
        <w:t xml:space="preserve"> </w:t>
      </w:r>
      <w:proofErr w:type="spellStart"/>
      <w:r w:rsidRPr="00381CA3">
        <w:rPr>
          <w:rFonts w:ascii="Times New Roman" w:hAnsi="Times New Roman" w:cs="Times New Roman"/>
          <w:sz w:val="24"/>
          <w:szCs w:val="24"/>
        </w:rPr>
        <w:t>Children</w:t>
      </w:r>
      <w:proofErr w:type="spellEnd"/>
      <w:r w:rsidRPr="00381CA3">
        <w:rPr>
          <w:rFonts w:ascii="Times New Roman" w:hAnsi="Times New Roman" w:cs="Times New Roman"/>
          <w:sz w:val="24"/>
          <w:szCs w:val="24"/>
        </w:rPr>
        <w:t xml:space="preserve">. </w:t>
      </w:r>
      <w:r w:rsidRPr="00381CA3">
        <w:rPr>
          <w:rFonts w:ascii="Times New Roman" w:hAnsi="Times New Roman" w:cs="Times New Roman"/>
          <w:i/>
          <w:sz w:val="24"/>
          <w:szCs w:val="24"/>
        </w:rPr>
        <w:t xml:space="preserve">J </w:t>
      </w:r>
      <w:proofErr w:type="spellStart"/>
      <w:r w:rsidRPr="00381CA3">
        <w:rPr>
          <w:rFonts w:ascii="Times New Roman" w:hAnsi="Times New Roman" w:cs="Times New Roman"/>
          <w:i/>
          <w:sz w:val="24"/>
          <w:szCs w:val="24"/>
        </w:rPr>
        <w:t>Obes</w:t>
      </w:r>
      <w:proofErr w:type="spellEnd"/>
      <w:r w:rsidRPr="00381CA3">
        <w:rPr>
          <w:rFonts w:ascii="Times New Roman" w:hAnsi="Times New Roman" w:cs="Times New Roman"/>
          <w:i/>
          <w:sz w:val="24"/>
          <w:szCs w:val="24"/>
        </w:rPr>
        <w:t xml:space="preserve"> </w:t>
      </w:r>
      <w:proofErr w:type="spellStart"/>
      <w:r w:rsidRPr="00381CA3">
        <w:rPr>
          <w:rFonts w:ascii="Times New Roman" w:hAnsi="Times New Roman" w:cs="Times New Roman"/>
          <w:i/>
          <w:sz w:val="24"/>
          <w:szCs w:val="24"/>
        </w:rPr>
        <w:t>Wt</w:t>
      </w:r>
      <w:proofErr w:type="spellEnd"/>
      <w:r w:rsidRPr="00381CA3">
        <w:rPr>
          <w:rFonts w:ascii="Times New Roman" w:hAnsi="Times New Roman" w:cs="Times New Roman"/>
          <w:i/>
          <w:sz w:val="24"/>
          <w:szCs w:val="24"/>
        </w:rPr>
        <w:t xml:space="preserve"> </w:t>
      </w:r>
      <w:proofErr w:type="spellStart"/>
      <w:r w:rsidRPr="00381CA3">
        <w:rPr>
          <w:rFonts w:ascii="Times New Roman" w:hAnsi="Times New Roman" w:cs="Times New Roman"/>
          <w:i/>
          <w:sz w:val="24"/>
          <w:szCs w:val="24"/>
        </w:rPr>
        <w:t>Loss</w:t>
      </w:r>
      <w:proofErr w:type="spellEnd"/>
      <w:r w:rsidRPr="00381CA3">
        <w:rPr>
          <w:rFonts w:ascii="Times New Roman" w:hAnsi="Times New Roman" w:cs="Times New Roman"/>
          <w:i/>
          <w:sz w:val="24"/>
          <w:szCs w:val="24"/>
        </w:rPr>
        <w:t xml:space="preserve"> </w:t>
      </w:r>
      <w:proofErr w:type="spellStart"/>
      <w:r w:rsidRPr="00381CA3">
        <w:rPr>
          <w:rFonts w:ascii="Times New Roman" w:hAnsi="Times New Roman" w:cs="Times New Roman"/>
          <w:i/>
          <w:sz w:val="24"/>
          <w:szCs w:val="24"/>
        </w:rPr>
        <w:t>Ther</w:t>
      </w:r>
      <w:proofErr w:type="spellEnd"/>
      <w:r w:rsidRPr="00381CA3">
        <w:rPr>
          <w:rFonts w:ascii="Times New Roman" w:hAnsi="Times New Roman" w:cs="Times New Roman"/>
          <w:i/>
          <w:sz w:val="24"/>
          <w:szCs w:val="24"/>
        </w:rPr>
        <w:t xml:space="preserve"> 2</w:t>
      </w:r>
      <w:r w:rsidRPr="00381CA3">
        <w:rPr>
          <w:rFonts w:ascii="Times New Roman" w:hAnsi="Times New Roman" w:cs="Times New Roman"/>
          <w:sz w:val="24"/>
          <w:szCs w:val="24"/>
        </w:rPr>
        <w:t>(9), 153 doi:10.4172/2165-7904.1000153</w:t>
      </w:r>
    </w:p>
    <w:p w14:paraId="53DFF89C" w14:textId="77777777" w:rsidR="001A515A" w:rsidRPr="00B53AC1" w:rsidRDefault="001A515A" w:rsidP="001A515A">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Phyllis</w:t>
      </w:r>
      <w:proofErr w:type="spellEnd"/>
      <w:r w:rsidRPr="00B53AC1">
        <w:rPr>
          <w:rFonts w:ascii="Times New Roman" w:hAnsi="Times New Roman" w:cs="Times New Roman"/>
          <w:sz w:val="24"/>
          <w:szCs w:val="24"/>
        </w:rPr>
        <w:t xml:space="preserve">, B., </w:t>
      </w:r>
      <w:proofErr w:type="spellStart"/>
      <w:r w:rsidRPr="00B53AC1">
        <w:rPr>
          <w:rFonts w:ascii="Times New Roman" w:hAnsi="Times New Roman" w:cs="Times New Roman"/>
          <w:sz w:val="24"/>
          <w:szCs w:val="24"/>
        </w:rPr>
        <w:t>Tanner</w:t>
      </w:r>
      <w:proofErr w:type="spellEnd"/>
      <w:r w:rsidRPr="00B53AC1">
        <w:rPr>
          <w:rFonts w:ascii="Times New Roman" w:hAnsi="Times New Roman" w:cs="Times New Roman"/>
          <w:sz w:val="24"/>
          <w:szCs w:val="24"/>
        </w:rPr>
        <w:t>, E.</w:t>
      </w:r>
      <w:proofErr w:type="gramStart"/>
      <w:r w:rsidRPr="00B53AC1">
        <w:rPr>
          <w:rFonts w:ascii="Times New Roman" w:hAnsi="Times New Roman" w:cs="Times New Roman"/>
          <w:sz w:val="24"/>
          <w:szCs w:val="24"/>
        </w:rPr>
        <w:t>,  &amp;</w:t>
      </w:r>
      <w:proofErr w:type="gram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Tanner</w:t>
      </w:r>
      <w:proofErr w:type="spellEnd"/>
      <w:r w:rsidRPr="00B53AC1">
        <w:rPr>
          <w:rFonts w:ascii="Times New Roman" w:hAnsi="Times New Roman" w:cs="Times New Roman"/>
          <w:sz w:val="24"/>
          <w:szCs w:val="24"/>
        </w:rPr>
        <w:t xml:space="preserve">, J. M. (1990). </w:t>
      </w:r>
      <w:proofErr w:type="spellStart"/>
      <w:r w:rsidRPr="00B53AC1">
        <w:rPr>
          <w:rFonts w:ascii="Times New Roman" w:eastAsia="Times New Roman" w:hAnsi="Times New Roman" w:cs="Times New Roman"/>
          <w:i/>
          <w:sz w:val="24"/>
          <w:szCs w:val="24"/>
        </w:rPr>
        <w:t>Worldwide</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variation</w:t>
      </w:r>
      <w:proofErr w:type="spellEnd"/>
      <w:r w:rsidRPr="00B53AC1">
        <w:rPr>
          <w:rFonts w:ascii="Times New Roman" w:eastAsia="Times New Roman" w:hAnsi="Times New Roman" w:cs="Times New Roman"/>
          <w:i/>
          <w:sz w:val="24"/>
          <w:szCs w:val="24"/>
        </w:rPr>
        <w:t xml:space="preserve"> in </w:t>
      </w:r>
      <w:proofErr w:type="spellStart"/>
      <w:r w:rsidRPr="00B53AC1">
        <w:rPr>
          <w:rFonts w:ascii="Times New Roman" w:eastAsia="Times New Roman" w:hAnsi="Times New Roman" w:cs="Times New Roman"/>
          <w:i/>
          <w:sz w:val="24"/>
          <w:szCs w:val="24"/>
        </w:rPr>
        <w:t>human</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growth</w:t>
      </w:r>
      <w:proofErr w:type="spellEnd"/>
      <w:r w:rsidRPr="00B53AC1">
        <w:rPr>
          <w:rFonts w:ascii="Times New Roman" w:eastAsia="Times New Roman" w:hAnsi="Times New Roman" w:cs="Times New Roman"/>
          <w:i/>
          <w:sz w:val="24"/>
          <w:szCs w:val="24"/>
        </w:rPr>
        <w:t xml:space="preserve"> (second </w:t>
      </w:r>
      <w:proofErr w:type="spellStart"/>
      <w:r w:rsidRPr="00B53AC1">
        <w:rPr>
          <w:rFonts w:ascii="Times New Roman" w:eastAsia="Times New Roman" w:hAnsi="Times New Roman" w:cs="Times New Roman"/>
          <w:i/>
          <w:sz w:val="24"/>
          <w:szCs w:val="24"/>
        </w:rPr>
        <w:t>edition</w:t>
      </w:r>
      <w:proofErr w:type="spellEnd"/>
      <w:r w:rsidRPr="00B53AC1">
        <w:rPr>
          <w:rFonts w:ascii="Times New Roman" w:eastAsia="Times New Roman" w:hAnsi="Times New Roman" w:cs="Times New Roman"/>
          <w:i/>
          <w:sz w:val="24"/>
          <w:szCs w:val="24"/>
        </w:rPr>
        <w:t>)</w:t>
      </w:r>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B.m</w:t>
      </w:r>
      <w:proofErr w:type="spellEnd"/>
      <w:r w:rsidRPr="00B53AC1">
        <w:rPr>
          <w:rFonts w:ascii="Times New Roman" w:hAnsi="Times New Roman" w:cs="Times New Roman"/>
          <w:sz w:val="24"/>
          <w:szCs w:val="24"/>
        </w:rPr>
        <w:t xml:space="preserve">.: Cambridge University </w:t>
      </w:r>
      <w:proofErr w:type="spellStart"/>
      <w:r w:rsidRPr="00B53AC1">
        <w:rPr>
          <w:rFonts w:ascii="Times New Roman" w:hAnsi="Times New Roman" w:cs="Times New Roman"/>
          <w:sz w:val="24"/>
          <w:szCs w:val="24"/>
        </w:rPr>
        <w:t>Press</w:t>
      </w:r>
      <w:proofErr w:type="spellEnd"/>
      <w:r w:rsidRPr="00B53AC1">
        <w:rPr>
          <w:rFonts w:ascii="Times New Roman" w:hAnsi="Times New Roman" w:cs="Times New Roman"/>
          <w:sz w:val="24"/>
          <w:szCs w:val="24"/>
        </w:rPr>
        <w:t xml:space="preserve">.  </w:t>
      </w:r>
    </w:p>
    <w:p w14:paraId="525163BE"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Pietrobelli</w:t>
      </w:r>
      <w:proofErr w:type="spellEnd"/>
      <w:r w:rsidRPr="00B53AC1">
        <w:rPr>
          <w:rFonts w:ascii="Times New Roman" w:hAnsi="Times New Roman" w:cs="Times New Roman"/>
          <w:sz w:val="24"/>
          <w:szCs w:val="24"/>
        </w:rPr>
        <w:t xml:space="preserve">, A., &amp; </w:t>
      </w:r>
      <w:proofErr w:type="spellStart"/>
      <w:r w:rsidRPr="00B53AC1">
        <w:rPr>
          <w:rFonts w:ascii="Times New Roman" w:hAnsi="Times New Roman" w:cs="Times New Roman"/>
          <w:sz w:val="24"/>
          <w:szCs w:val="24"/>
        </w:rPr>
        <w:t>Heymsfield</w:t>
      </w:r>
      <w:proofErr w:type="spellEnd"/>
      <w:r w:rsidRPr="00B53AC1">
        <w:rPr>
          <w:rFonts w:ascii="Times New Roman" w:hAnsi="Times New Roman" w:cs="Times New Roman"/>
          <w:sz w:val="24"/>
          <w:szCs w:val="24"/>
        </w:rPr>
        <w:t xml:space="preserve">, S. B. (2002). </w:t>
      </w:r>
      <w:proofErr w:type="spellStart"/>
      <w:r w:rsidRPr="00B53AC1">
        <w:rPr>
          <w:rFonts w:ascii="Times New Roman" w:hAnsi="Times New Roman" w:cs="Times New Roman"/>
          <w:sz w:val="24"/>
          <w:szCs w:val="24"/>
        </w:rPr>
        <w:t>Establishing</w:t>
      </w:r>
      <w:proofErr w:type="spellEnd"/>
      <w:r w:rsidRPr="00B53AC1">
        <w:rPr>
          <w:rFonts w:ascii="Times New Roman" w:hAnsi="Times New Roman" w:cs="Times New Roman"/>
          <w:sz w:val="24"/>
          <w:szCs w:val="24"/>
        </w:rPr>
        <w:t xml:space="preserve"> body </w:t>
      </w:r>
      <w:proofErr w:type="spellStart"/>
      <w:r w:rsidRPr="00B53AC1">
        <w:rPr>
          <w:rFonts w:ascii="Times New Roman" w:hAnsi="Times New Roman" w:cs="Times New Roman"/>
          <w:sz w:val="24"/>
          <w:szCs w:val="24"/>
        </w:rPr>
        <w:t>composition</w:t>
      </w:r>
      <w:proofErr w:type="spellEnd"/>
      <w:r w:rsidRPr="00B53AC1">
        <w:rPr>
          <w:rFonts w:ascii="Times New Roman" w:hAnsi="Times New Roman" w:cs="Times New Roman"/>
          <w:sz w:val="24"/>
          <w:szCs w:val="24"/>
        </w:rPr>
        <w:t xml:space="preserve"> in obesity. </w:t>
      </w:r>
      <w:r w:rsidRPr="00B53AC1">
        <w:rPr>
          <w:rFonts w:ascii="Times New Roman" w:hAnsi="Times New Roman" w:cs="Times New Roman"/>
          <w:i/>
          <w:sz w:val="24"/>
          <w:szCs w:val="24"/>
        </w:rPr>
        <w:t xml:space="preserve">J </w:t>
      </w:r>
      <w:proofErr w:type="spellStart"/>
      <w:r w:rsidRPr="00B53AC1">
        <w:rPr>
          <w:rFonts w:ascii="Times New Roman" w:hAnsi="Times New Roman" w:cs="Times New Roman"/>
          <w:i/>
          <w:sz w:val="24"/>
          <w:szCs w:val="24"/>
        </w:rPr>
        <w:t>Endocrinol</w:t>
      </w:r>
      <w:proofErr w:type="spellEnd"/>
      <w:r w:rsidRPr="00B53AC1">
        <w:rPr>
          <w:rFonts w:ascii="Times New Roman" w:hAnsi="Times New Roman" w:cs="Times New Roman"/>
          <w:i/>
          <w:sz w:val="24"/>
          <w:szCs w:val="24"/>
        </w:rPr>
        <w:t xml:space="preserve"> Invest, 25</w:t>
      </w:r>
      <w:r w:rsidRPr="00B53AC1">
        <w:rPr>
          <w:rFonts w:ascii="Times New Roman" w:hAnsi="Times New Roman" w:cs="Times New Roman"/>
          <w:sz w:val="24"/>
          <w:szCs w:val="24"/>
        </w:rPr>
        <w:t>(10), 884-892. doi:</w:t>
      </w:r>
      <w:hyperlink r:id="rId6" w:history="1">
        <w:r w:rsidRPr="00B53AC1">
          <w:rPr>
            <w:rStyle w:val="Hypertextovodkaz"/>
            <w:rFonts w:ascii="Times New Roman" w:hAnsi="Times New Roman" w:cs="Times New Roman"/>
            <w:sz w:val="24"/>
            <w:szCs w:val="24"/>
          </w:rPr>
          <w:t>10.1007/BF03344052</w:t>
        </w:r>
      </w:hyperlink>
    </w:p>
    <w:p w14:paraId="176C5F85"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Pietrobelli</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Andreoli</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Cervelli</w:t>
      </w:r>
      <w:proofErr w:type="spellEnd"/>
      <w:r w:rsidRPr="00B53AC1">
        <w:rPr>
          <w:rFonts w:ascii="Times New Roman" w:hAnsi="Times New Roman" w:cs="Times New Roman"/>
          <w:sz w:val="24"/>
          <w:szCs w:val="24"/>
        </w:rPr>
        <w:t xml:space="preserve">, V, </w:t>
      </w:r>
      <w:proofErr w:type="spellStart"/>
      <w:r w:rsidRPr="00B53AC1">
        <w:rPr>
          <w:rFonts w:ascii="Times New Roman" w:hAnsi="Times New Roman" w:cs="Times New Roman"/>
          <w:sz w:val="24"/>
          <w:szCs w:val="24"/>
        </w:rPr>
        <w:t>Carbonelli</w:t>
      </w:r>
      <w:proofErr w:type="spellEnd"/>
      <w:r w:rsidRPr="00B53AC1">
        <w:rPr>
          <w:rFonts w:ascii="Times New Roman" w:hAnsi="Times New Roman" w:cs="Times New Roman"/>
          <w:sz w:val="24"/>
          <w:szCs w:val="24"/>
        </w:rPr>
        <w:t xml:space="preserve">, M. G., </w:t>
      </w:r>
      <w:proofErr w:type="spellStart"/>
      <w:r w:rsidRPr="00B53AC1">
        <w:rPr>
          <w:rFonts w:ascii="Times New Roman" w:hAnsi="Times New Roman" w:cs="Times New Roman"/>
          <w:sz w:val="24"/>
          <w:szCs w:val="24"/>
        </w:rPr>
        <w:t>Peroni</w:t>
      </w:r>
      <w:proofErr w:type="spellEnd"/>
      <w:r w:rsidRPr="00B53AC1">
        <w:rPr>
          <w:rFonts w:ascii="Times New Roman" w:hAnsi="Times New Roman" w:cs="Times New Roman"/>
          <w:sz w:val="24"/>
          <w:szCs w:val="24"/>
        </w:rPr>
        <w:t xml:space="preserve">, D., G., &amp; De Lorenzo, A. (2003). </w:t>
      </w:r>
      <w:proofErr w:type="spellStart"/>
      <w:r w:rsidRPr="00B53AC1">
        <w:rPr>
          <w:rFonts w:ascii="Times New Roman" w:hAnsi="Times New Roman" w:cs="Times New Roman"/>
          <w:sz w:val="24"/>
          <w:szCs w:val="24"/>
        </w:rPr>
        <w:t>Predicting</w:t>
      </w:r>
      <w:proofErr w:type="spellEnd"/>
      <w:r w:rsidRPr="00B53AC1">
        <w:rPr>
          <w:rFonts w:ascii="Times New Roman" w:hAnsi="Times New Roman" w:cs="Times New Roman"/>
          <w:sz w:val="24"/>
          <w:szCs w:val="24"/>
        </w:rPr>
        <w:t xml:space="preserve"> fat-free </w:t>
      </w:r>
      <w:proofErr w:type="spellStart"/>
      <w:r w:rsidRPr="00B53AC1">
        <w:rPr>
          <w:rFonts w:ascii="Times New Roman" w:hAnsi="Times New Roman" w:cs="Times New Roman"/>
          <w:sz w:val="24"/>
          <w:szCs w:val="24"/>
        </w:rPr>
        <w:t>mass</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using</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bioimpedance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analysis</w:t>
      </w:r>
      <w:proofErr w:type="spellEnd"/>
      <w:r w:rsidRPr="00B53AC1">
        <w:rPr>
          <w:rFonts w:ascii="Times New Roman" w:hAnsi="Times New Roman" w:cs="Times New Roman"/>
          <w:sz w:val="24"/>
          <w:szCs w:val="24"/>
        </w:rPr>
        <w:t xml:space="preserve">. </w:t>
      </w:r>
      <w:r w:rsidRPr="00B53AC1">
        <w:rPr>
          <w:rFonts w:ascii="Times New Roman" w:hAnsi="Times New Roman" w:cs="Times New Roman"/>
          <w:i/>
          <w:sz w:val="24"/>
          <w:szCs w:val="24"/>
        </w:rPr>
        <w:t xml:space="preserve">Acta </w:t>
      </w:r>
      <w:proofErr w:type="spellStart"/>
      <w:r w:rsidRPr="00B53AC1">
        <w:rPr>
          <w:rFonts w:ascii="Times New Roman" w:hAnsi="Times New Roman" w:cs="Times New Roman"/>
          <w:i/>
          <w:sz w:val="24"/>
          <w:szCs w:val="24"/>
        </w:rPr>
        <w:t>Diabetol</w:t>
      </w:r>
      <w:proofErr w:type="spellEnd"/>
      <w:r w:rsidRPr="00B53AC1">
        <w:rPr>
          <w:rFonts w:ascii="Times New Roman" w:hAnsi="Times New Roman" w:cs="Times New Roman"/>
          <w:i/>
          <w:sz w:val="24"/>
          <w:szCs w:val="24"/>
        </w:rPr>
        <w:t>, 40</w:t>
      </w:r>
      <w:r w:rsidRPr="00B53AC1">
        <w:rPr>
          <w:rFonts w:ascii="Times New Roman" w:hAnsi="Times New Roman" w:cs="Times New Roman"/>
          <w:sz w:val="24"/>
          <w:szCs w:val="24"/>
        </w:rPr>
        <w:t>, 212</w:t>
      </w:r>
      <w:r w:rsidRPr="00B53AC1">
        <w:rPr>
          <w:rFonts w:ascii="Times New Roman" w:hAnsi="Times New Roman" w:cs="Times New Roman"/>
          <w:noProof/>
          <w:sz w:val="24"/>
          <w:szCs w:val="24"/>
        </w:rPr>
        <w:t>–</w:t>
      </w:r>
      <w:r w:rsidRPr="00B53AC1">
        <w:rPr>
          <w:rFonts w:ascii="Times New Roman" w:hAnsi="Times New Roman" w:cs="Times New Roman"/>
          <w:sz w:val="24"/>
          <w:szCs w:val="24"/>
        </w:rPr>
        <w:t xml:space="preserve">215. </w:t>
      </w:r>
      <w:proofErr w:type="spellStart"/>
      <w:r w:rsidRPr="00B53AC1">
        <w:rPr>
          <w:rFonts w:ascii="Times New Roman" w:hAnsi="Times New Roman" w:cs="Times New Roman"/>
          <w:sz w:val="24"/>
          <w:szCs w:val="24"/>
        </w:rPr>
        <w:t>doi</w:t>
      </w:r>
      <w:proofErr w:type="spellEnd"/>
      <w:r w:rsidRPr="00B53AC1">
        <w:rPr>
          <w:rFonts w:ascii="Times New Roman" w:hAnsi="Times New Roman" w:cs="Times New Roman"/>
          <w:sz w:val="24"/>
          <w:szCs w:val="24"/>
        </w:rPr>
        <w:t xml:space="preserve">: </w:t>
      </w:r>
      <w:hyperlink r:id="rId7" w:history="1">
        <w:r w:rsidRPr="00B53AC1">
          <w:rPr>
            <w:rStyle w:val="Hypertextovodkaz"/>
            <w:rFonts w:ascii="Times New Roman" w:hAnsi="Times New Roman" w:cs="Times New Roman"/>
            <w:sz w:val="24"/>
            <w:szCs w:val="24"/>
          </w:rPr>
          <w:t>10.1007/s00592-003-</w:t>
        </w:r>
        <w:proofErr w:type="gramStart"/>
        <w:r w:rsidRPr="00B53AC1">
          <w:rPr>
            <w:rStyle w:val="Hypertextovodkaz"/>
            <w:rFonts w:ascii="Times New Roman" w:hAnsi="Times New Roman" w:cs="Times New Roman"/>
            <w:sz w:val="24"/>
            <w:szCs w:val="24"/>
          </w:rPr>
          <w:t>0069-z</w:t>
        </w:r>
        <w:proofErr w:type="gramEnd"/>
      </w:hyperlink>
    </w:p>
    <w:p w14:paraId="33992F95"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Riegerová, J., Přidalová, M., &amp; </w:t>
      </w:r>
      <w:proofErr w:type="spellStart"/>
      <w:r w:rsidRPr="00B53AC1">
        <w:rPr>
          <w:rFonts w:ascii="Times New Roman" w:hAnsi="Times New Roman" w:cs="Times New Roman"/>
          <w:sz w:val="24"/>
          <w:szCs w:val="24"/>
        </w:rPr>
        <w:t>Ulbrichová</w:t>
      </w:r>
      <w:proofErr w:type="spellEnd"/>
      <w:r w:rsidRPr="00B53AC1">
        <w:rPr>
          <w:rFonts w:ascii="Times New Roman" w:hAnsi="Times New Roman" w:cs="Times New Roman"/>
          <w:sz w:val="24"/>
          <w:szCs w:val="24"/>
        </w:rPr>
        <w:t xml:space="preserve">, M. (2006). </w:t>
      </w:r>
      <w:r w:rsidRPr="00B53AC1">
        <w:rPr>
          <w:rFonts w:ascii="Times New Roman" w:hAnsi="Times New Roman" w:cs="Times New Roman"/>
          <w:i/>
          <w:sz w:val="24"/>
          <w:szCs w:val="24"/>
        </w:rPr>
        <w:t>Aplikace fyzické antropologie v tělesné výchově a sportu</w:t>
      </w:r>
      <w:r w:rsidRPr="00B53AC1">
        <w:rPr>
          <w:rFonts w:ascii="Times New Roman" w:hAnsi="Times New Roman" w:cs="Times New Roman"/>
          <w:sz w:val="24"/>
          <w:szCs w:val="24"/>
        </w:rPr>
        <w:t xml:space="preserve">. Olomouc: </w:t>
      </w:r>
      <w:proofErr w:type="spellStart"/>
      <w:r w:rsidRPr="00B53AC1">
        <w:rPr>
          <w:rFonts w:ascii="Times New Roman" w:hAnsi="Times New Roman" w:cs="Times New Roman"/>
          <w:sz w:val="24"/>
          <w:szCs w:val="24"/>
        </w:rPr>
        <w:t>Hanex</w:t>
      </w:r>
      <w:proofErr w:type="spellEnd"/>
      <w:r w:rsidRPr="00B53AC1">
        <w:rPr>
          <w:rFonts w:ascii="Times New Roman" w:hAnsi="Times New Roman" w:cs="Times New Roman"/>
          <w:sz w:val="24"/>
          <w:szCs w:val="24"/>
        </w:rPr>
        <w:t>.</w:t>
      </w:r>
    </w:p>
    <w:p w14:paraId="16C33ECC"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Rosario, A. S., </w:t>
      </w:r>
      <w:proofErr w:type="spellStart"/>
      <w:r w:rsidRPr="00B53AC1">
        <w:rPr>
          <w:rFonts w:ascii="Times New Roman" w:hAnsi="Times New Roman" w:cs="Times New Roman"/>
          <w:sz w:val="24"/>
          <w:szCs w:val="24"/>
        </w:rPr>
        <w:t>Schienkiewitz</w:t>
      </w:r>
      <w:proofErr w:type="spellEnd"/>
      <w:r w:rsidRPr="00B53AC1">
        <w:rPr>
          <w:rFonts w:ascii="Times New Roman" w:hAnsi="Times New Roman" w:cs="Times New Roman"/>
          <w:sz w:val="24"/>
          <w:szCs w:val="24"/>
        </w:rPr>
        <w:t xml:space="preserve">, A., &amp; </w:t>
      </w:r>
      <w:proofErr w:type="spellStart"/>
      <w:r w:rsidRPr="00B53AC1">
        <w:rPr>
          <w:rFonts w:ascii="Times New Roman" w:hAnsi="Times New Roman" w:cs="Times New Roman"/>
          <w:sz w:val="24"/>
          <w:szCs w:val="24"/>
        </w:rPr>
        <w:t>Neuhauser</w:t>
      </w:r>
      <w:proofErr w:type="spellEnd"/>
      <w:r w:rsidRPr="00B53AC1">
        <w:rPr>
          <w:rFonts w:ascii="Times New Roman" w:hAnsi="Times New Roman" w:cs="Times New Roman"/>
          <w:sz w:val="24"/>
          <w:szCs w:val="24"/>
        </w:rPr>
        <w:t xml:space="preserve">, H. (2011). German </w:t>
      </w:r>
      <w:proofErr w:type="spellStart"/>
      <w:r w:rsidRPr="00B53AC1">
        <w:rPr>
          <w:rFonts w:ascii="Times New Roman" w:hAnsi="Times New Roman" w:cs="Times New Roman"/>
          <w:sz w:val="24"/>
          <w:szCs w:val="24"/>
        </w:rPr>
        <w:t>height</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references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aged</w:t>
      </w:r>
      <w:proofErr w:type="spellEnd"/>
      <w:r w:rsidRPr="00B53AC1">
        <w:rPr>
          <w:rFonts w:ascii="Times New Roman" w:hAnsi="Times New Roman" w:cs="Times New Roman"/>
          <w:sz w:val="24"/>
          <w:szCs w:val="24"/>
        </w:rPr>
        <w:t xml:space="preserve"> 0 to </w:t>
      </w:r>
      <w:proofErr w:type="spellStart"/>
      <w:r w:rsidRPr="00B53AC1">
        <w:rPr>
          <w:rFonts w:ascii="Times New Roman" w:hAnsi="Times New Roman" w:cs="Times New Roman"/>
          <w:sz w:val="24"/>
          <w:szCs w:val="24"/>
        </w:rPr>
        <w:t>under</w:t>
      </w:r>
      <w:proofErr w:type="spellEnd"/>
      <w:r w:rsidRPr="00B53AC1">
        <w:rPr>
          <w:rFonts w:ascii="Times New Roman" w:hAnsi="Times New Roman" w:cs="Times New Roman"/>
          <w:sz w:val="24"/>
          <w:szCs w:val="24"/>
        </w:rPr>
        <w:t xml:space="preserve"> 18 </w:t>
      </w:r>
      <w:proofErr w:type="spellStart"/>
      <w:r w:rsidRPr="00B53AC1">
        <w:rPr>
          <w:rFonts w:ascii="Times New Roman" w:hAnsi="Times New Roman" w:cs="Times New Roman"/>
          <w:sz w:val="24"/>
          <w:szCs w:val="24"/>
        </w:rPr>
        <w:t>years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compared</w:t>
      </w:r>
      <w:proofErr w:type="spellEnd"/>
      <w:r w:rsidRPr="00B53AC1">
        <w:rPr>
          <w:rFonts w:ascii="Times New Roman" w:hAnsi="Times New Roman" w:cs="Times New Roman"/>
          <w:sz w:val="24"/>
          <w:szCs w:val="24"/>
        </w:rPr>
        <w:t xml:space="preserve"> to WHO and CDC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charts</w:t>
      </w:r>
      <w:proofErr w:type="spellEnd"/>
      <w:r w:rsidRPr="00B53AC1">
        <w:rPr>
          <w:rFonts w:ascii="Times New Roman" w:hAnsi="Times New Roman" w:cs="Times New Roman"/>
          <w:sz w:val="24"/>
          <w:szCs w:val="24"/>
        </w:rPr>
        <w:t xml:space="preserve">. </w:t>
      </w:r>
      <w:proofErr w:type="spellStart"/>
      <w:r w:rsidRPr="00B53AC1">
        <w:rPr>
          <w:rFonts w:ascii="Times New Roman" w:eastAsia="Times New Roman" w:hAnsi="Times New Roman" w:cs="Times New Roman"/>
          <w:i/>
          <w:sz w:val="24"/>
          <w:szCs w:val="24"/>
        </w:rPr>
        <w:t>Annals</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of</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Human</w:t>
      </w:r>
      <w:proofErr w:type="spellEnd"/>
      <w:r w:rsidRPr="00B53AC1">
        <w:rPr>
          <w:rFonts w:ascii="Times New Roman" w:eastAsia="Times New Roman" w:hAnsi="Times New Roman" w:cs="Times New Roman"/>
          <w:i/>
          <w:sz w:val="24"/>
          <w:szCs w:val="24"/>
        </w:rPr>
        <w:t xml:space="preserve"> Biology, </w:t>
      </w:r>
      <w:r w:rsidRPr="00B53AC1">
        <w:rPr>
          <w:rFonts w:ascii="Times New Roman" w:hAnsi="Times New Roman" w:cs="Times New Roman"/>
          <w:i/>
          <w:sz w:val="24"/>
          <w:szCs w:val="24"/>
        </w:rPr>
        <w:t>38</w:t>
      </w:r>
      <w:r w:rsidRPr="00B53AC1">
        <w:rPr>
          <w:rFonts w:ascii="Times New Roman" w:hAnsi="Times New Roman" w:cs="Times New Roman"/>
          <w:sz w:val="24"/>
          <w:szCs w:val="24"/>
        </w:rPr>
        <w:t xml:space="preserve">(2), 121–130.  </w:t>
      </w:r>
    </w:p>
    <w:p w14:paraId="5B4CDF84"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Saari</w:t>
      </w:r>
      <w:proofErr w:type="spellEnd"/>
      <w:r w:rsidRPr="00B53AC1">
        <w:rPr>
          <w:rFonts w:ascii="Times New Roman" w:hAnsi="Times New Roman" w:cs="Times New Roman"/>
          <w:sz w:val="24"/>
          <w:szCs w:val="24"/>
        </w:rPr>
        <w:t xml:space="preserve">, A., </w:t>
      </w:r>
      <w:proofErr w:type="spellStart"/>
      <w:r w:rsidRPr="00B53AC1">
        <w:rPr>
          <w:rFonts w:ascii="Times New Roman" w:hAnsi="Times New Roman" w:cs="Times New Roman"/>
          <w:sz w:val="24"/>
          <w:szCs w:val="24"/>
        </w:rPr>
        <w:t>Sankilampi</w:t>
      </w:r>
      <w:proofErr w:type="spellEnd"/>
      <w:r w:rsidRPr="00B53AC1">
        <w:rPr>
          <w:rFonts w:ascii="Times New Roman" w:hAnsi="Times New Roman" w:cs="Times New Roman"/>
          <w:sz w:val="24"/>
          <w:szCs w:val="24"/>
        </w:rPr>
        <w:t xml:space="preserve">, U., </w:t>
      </w:r>
      <w:proofErr w:type="spellStart"/>
      <w:r w:rsidRPr="00B53AC1">
        <w:rPr>
          <w:rFonts w:ascii="Times New Roman" w:hAnsi="Times New Roman" w:cs="Times New Roman"/>
          <w:sz w:val="24"/>
          <w:szCs w:val="24"/>
        </w:rPr>
        <w:t>Hannila</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Kiviniemi</w:t>
      </w:r>
      <w:proofErr w:type="spellEnd"/>
      <w:r w:rsidRPr="00B53AC1">
        <w:rPr>
          <w:rFonts w:ascii="Times New Roman" w:hAnsi="Times New Roman" w:cs="Times New Roman"/>
          <w:sz w:val="24"/>
          <w:szCs w:val="24"/>
        </w:rPr>
        <w:t xml:space="preserve">, V., </w:t>
      </w:r>
      <w:proofErr w:type="spellStart"/>
      <w:r w:rsidRPr="00B53AC1">
        <w:rPr>
          <w:rFonts w:ascii="Times New Roman" w:hAnsi="Times New Roman" w:cs="Times New Roman"/>
          <w:sz w:val="24"/>
          <w:szCs w:val="24"/>
        </w:rPr>
        <w:t>Kesseli</w:t>
      </w:r>
      <w:proofErr w:type="spellEnd"/>
      <w:r w:rsidRPr="00B53AC1">
        <w:rPr>
          <w:rFonts w:ascii="Times New Roman" w:hAnsi="Times New Roman" w:cs="Times New Roman"/>
          <w:sz w:val="24"/>
          <w:szCs w:val="24"/>
        </w:rPr>
        <w:t xml:space="preserve">, K., &amp; </w:t>
      </w:r>
      <w:proofErr w:type="spellStart"/>
      <w:r w:rsidRPr="00B53AC1">
        <w:rPr>
          <w:rFonts w:ascii="Times New Roman" w:hAnsi="Times New Roman" w:cs="Times New Roman"/>
          <w:sz w:val="24"/>
          <w:szCs w:val="24"/>
        </w:rPr>
        <w:t>Dunkel</w:t>
      </w:r>
      <w:proofErr w:type="spellEnd"/>
      <w:r w:rsidRPr="00B53AC1">
        <w:rPr>
          <w:rFonts w:ascii="Times New Roman" w:hAnsi="Times New Roman" w:cs="Times New Roman"/>
          <w:sz w:val="24"/>
          <w:szCs w:val="24"/>
        </w:rPr>
        <w:t xml:space="preserve">, L. (2011). New </w:t>
      </w:r>
      <w:proofErr w:type="spellStart"/>
      <w:r w:rsidRPr="00B53AC1">
        <w:rPr>
          <w:rFonts w:ascii="Times New Roman" w:hAnsi="Times New Roman" w:cs="Times New Roman"/>
          <w:sz w:val="24"/>
          <w:szCs w:val="24"/>
        </w:rPr>
        <w:t>Finnish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references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adolescents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aged</w:t>
      </w:r>
      <w:proofErr w:type="spellEnd"/>
      <w:r w:rsidRPr="00B53AC1">
        <w:rPr>
          <w:rFonts w:ascii="Times New Roman" w:hAnsi="Times New Roman" w:cs="Times New Roman"/>
          <w:sz w:val="24"/>
          <w:szCs w:val="24"/>
        </w:rPr>
        <w:t xml:space="preserve"> 0 to 20 </w:t>
      </w:r>
      <w:proofErr w:type="spellStart"/>
      <w:r w:rsidRPr="00B53AC1">
        <w:rPr>
          <w:rFonts w:ascii="Times New Roman" w:hAnsi="Times New Roman" w:cs="Times New Roman"/>
          <w:sz w:val="24"/>
          <w:szCs w:val="24"/>
        </w:rPr>
        <w:t>years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Length</w:t>
      </w:r>
      <w:proofErr w:type="spellEnd"/>
      <w:r w:rsidRPr="00B53AC1">
        <w:rPr>
          <w:rFonts w:ascii="Times New Roman" w:hAnsi="Times New Roman" w:cs="Times New Roman"/>
          <w:sz w:val="24"/>
          <w:szCs w:val="24"/>
        </w:rPr>
        <w:t>/</w:t>
      </w:r>
      <w:proofErr w:type="spellStart"/>
      <w:r w:rsidRPr="00B53AC1">
        <w:rPr>
          <w:rFonts w:ascii="Times New Roman" w:hAnsi="Times New Roman" w:cs="Times New Roman"/>
          <w:sz w:val="24"/>
          <w:szCs w:val="24"/>
        </w:rPr>
        <w:t>height-</w:t>
      </w:r>
      <w:r w:rsidRPr="00B53AC1">
        <w:rPr>
          <w:rFonts w:ascii="Times New Roman" w:hAnsi="Times New Roman" w:cs="Times New Roman"/>
          <w:sz w:val="24"/>
          <w:szCs w:val="24"/>
        </w:rPr>
        <w:lastRenderedPageBreak/>
        <w:t>for-age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weight-for-length</w:t>
      </w:r>
      <w:proofErr w:type="spellEnd"/>
      <w:r w:rsidRPr="00B53AC1">
        <w:rPr>
          <w:rFonts w:ascii="Times New Roman" w:hAnsi="Times New Roman" w:cs="Times New Roman"/>
          <w:sz w:val="24"/>
          <w:szCs w:val="24"/>
        </w:rPr>
        <w:t>/</w:t>
      </w:r>
      <w:proofErr w:type="spellStart"/>
      <w:r w:rsidRPr="00B53AC1">
        <w:rPr>
          <w:rFonts w:ascii="Times New Roman" w:hAnsi="Times New Roman" w:cs="Times New Roman"/>
          <w:sz w:val="24"/>
          <w:szCs w:val="24"/>
        </w:rPr>
        <w:t>height</w:t>
      </w:r>
      <w:proofErr w:type="spellEnd"/>
      <w:r w:rsidRPr="00B53AC1">
        <w:rPr>
          <w:rFonts w:ascii="Times New Roman" w:hAnsi="Times New Roman" w:cs="Times New Roman"/>
          <w:sz w:val="24"/>
          <w:szCs w:val="24"/>
        </w:rPr>
        <w:t xml:space="preserve">, and body </w:t>
      </w:r>
      <w:proofErr w:type="spellStart"/>
      <w:r w:rsidRPr="00B53AC1">
        <w:rPr>
          <w:rFonts w:ascii="Times New Roman" w:hAnsi="Times New Roman" w:cs="Times New Roman"/>
          <w:sz w:val="24"/>
          <w:szCs w:val="24"/>
        </w:rPr>
        <w:t>mass</w:t>
      </w:r>
      <w:proofErr w:type="spellEnd"/>
      <w:r w:rsidRPr="00B53AC1">
        <w:rPr>
          <w:rFonts w:ascii="Times New Roman" w:hAnsi="Times New Roman" w:cs="Times New Roman"/>
          <w:sz w:val="24"/>
          <w:szCs w:val="24"/>
        </w:rPr>
        <w:t xml:space="preserve"> index-</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w:t>
      </w:r>
      <w:proofErr w:type="spellStart"/>
      <w:r w:rsidRPr="00B53AC1">
        <w:rPr>
          <w:rFonts w:ascii="Times New Roman" w:hAnsi="Times New Roman" w:cs="Times New Roman"/>
          <w:sz w:val="24"/>
          <w:szCs w:val="24"/>
        </w:rPr>
        <w:t>age</w:t>
      </w:r>
      <w:proofErr w:type="spellEnd"/>
      <w:r w:rsidRPr="00B53AC1">
        <w:rPr>
          <w:rFonts w:ascii="Times New Roman" w:hAnsi="Times New Roman" w:cs="Times New Roman"/>
          <w:sz w:val="24"/>
          <w:szCs w:val="24"/>
        </w:rPr>
        <w:t xml:space="preserve">. </w:t>
      </w:r>
      <w:proofErr w:type="spellStart"/>
      <w:r w:rsidRPr="00B53AC1">
        <w:rPr>
          <w:rFonts w:ascii="Times New Roman" w:eastAsia="Times New Roman" w:hAnsi="Times New Roman" w:cs="Times New Roman"/>
          <w:i/>
          <w:sz w:val="24"/>
          <w:szCs w:val="24"/>
        </w:rPr>
        <w:t>Annals</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of</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Medicine</w:t>
      </w:r>
      <w:proofErr w:type="spellEnd"/>
      <w:r w:rsidRPr="005E73A0">
        <w:rPr>
          <w:rFonts w:ascii="Times New Roman" w:hAnsi="Times New Roman" w:cs="Times New Roman"/>
          <w:i/>
          <w:sz w:val="24"/>
          <w:szCs w:val="24"/>
        </w:rPr>
        <w:t>, 43</w:t>
      </w:r>
      <w:r w:rsidRPr="00B53AC1">
        <w:rPr>
          <w:rFonts w:ascii="Times New Roman" w:hAnsi="Times New Roman" w:cs="Times New Roman"/>
          <w:sz w:val="24"/>
          <w:szCs w:val="24"/>
        </w:rPr>
        <w:t xml:space="preserve">(3), 235–248.  </w:t>
      </w:r>
    </w:p>
    <w:p w14:paraId="2F27A8C4"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Sigmund, E., Sigmundová, D., Badura, P., Kalman, M., </w:t>
      </w:r>
      <w:proofErr w:type="spellStart"/>
      <w:r w:rsidRPr="00B53AC1">
        <w:rPr>
          <w:rFonts w:ascii="Times New Roman" w:hAnsi="Times New Roman" w:cs="Times New Roman"/>
          <w:sz w:val="24"/>
          <w:szCs w:val="24"/>
        </w:rPr>
        <w:t>Hamrik</w:t>
      </w:r>
      <w:proofErr w:type="spellEnd"/>
      <w:r w:rsidRPr="00B53AC1">
        <w:rPr>
          <w:rFonts w:ascii="Times New Roman" w:hAnsi="Times New Roman" w:cs="Times New Roman"/>
          <w:sz w:val="24"/>
          <w:szCs w:val="24"/>
        </w:rPr>
        <w:t xml:space="preserve">, Z., &amp; Pavelka, J. (2015). </w:t>
      </w:r>
      <w:proofErr w:type="spellStart"/>
      <w:r w:rsidRPr="00B53AC1">
        <w:rPr>
          <w:rFonts w:ascii="Times New Roman" w:hAnsi="Times New Roman" w:cs="Times New Roman"/>
          <w:sz w:val="24"/>
          <w:szCs w:val="24"/>
        </w:rPr>
        <w:t>Temporal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Trends</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Overweight</w:t>
      </w:r>
      <w:proofErr w:type="spellEnd"/>
      <w:r w:rsidRPr="00B53AC1">
        <w:rPr>
          <w:rFonts w:ascii="Times New Roman" w:hAnsi="Times New Roman" w:cs="Times New Roman"/>
          <w:sz w:val="24"/>
          <w:szCs w:val="24"/>
        </w:rPr>
        <w:t xml:space="preserve"> and Obesity, </w:t>
      </w:r>
      <w:proofErr w:type="spellStart"/>
      <w:r w:rsidRPr="00B53AC1">
        <w:rPr>
          <w:rFonts w:ascii="Times New Roman" w:hAnsi="Times New Roman" w:cs="Times New Roman"/>
          <w:sz w:val="24"/>
          <w:szCs w:val="24"/>
        </w:rPr>
        <w:t>Physical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Activity</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Screen</w:t>
      </w:r>
      <w:proofErr w:type="spellEnd"/>
      <w:r w:rsidRPr="00B53AC1">
        <w:rPr>
          <w:rFonts w:ascii="Times New Roman" w:hAnsi="Times New Roman" w:cs="Times New Roman"/>
          <w:sz w:val="24"/>
          <w:szCs w:val="24"/>
        </w:rPr>
        <w:t xml:space="preserve"> Time </w:t>
      </w:r>
      <w:proofErr w:type="spellStart"/>
      <w:r w:rsidRPr="00B53AC1">
        <w:rPr>
          <w:rFonts w:ascii="Times New Roman" w:hAnsi="Times New Roman" w:cs="Times New Roman"/>
          <w:sz w:val="24"/>
          <w:szCs w:val="24"/>
        </w:rPr>
        <w:t>among</w:t>
      </w:r>
      <w:proofErr w:type="spellEnd"/>
      <w:r w:rsidRPr="00B53AC1">
        <w:rPr>
          <w:rFonts w:ascii="Times New Roman" w:hAnsi="Times New Roman" w:cs="Times New Roman"/>
          <w:sz w:val="24"/>
          <w:szCs w:val="24"/>
        </w:rPr>
        <w:t xml:space="preserve"> Czech </w:t>
      </w:r>
      <w:proofErr w:type="spellStart"/>
      <w:r w:rsidRPr="00B53AC1">
        <w:rPr>
          <w:rFonts w:ascii="Times New Roman" w:hAnsi="Times New Roman" w:cs="Times New Roman"/>
          <w:sz w:val="24"/>
          <w:szCs w:val="24"/>
        </w:rPr>
        <w:t>Adolescents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from</w:t>
      </w:r>
      <w:proofErr w:type="spellEnd"/>
      <w:r w:rsidRPr="00B53AC1">
        <w:rPr>
          <w:rFonts w:ascii="Times New Roman" w:hAnsi="Times New Roman" w:cs="Times New Roman"/>
          <w:sz w:val="24"/>
          <w:szCs w:val="24"/>
        </w:rPr>
        <w:t xml:space="preserve"> 2002 to 2014: A </w:t>
      </w:r>
      <w:proofErr w:type="spellStart"/>
      <w:r w:rsidRPr="00B53AC1">
        <w:rPr>
          <w:rFonts w:ascii="Times New Roman" w:hAnsi="Times New Roman" w:cs="Times New Roman"/>
          <w:sz w:val="24"/>
          <w:szCs w:val="24"/>
        </w:rPr>
        <w:t>National</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Health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Behaviour</w:t>
      </w:r>
      <w:proofErr w:type="spellEnd"/>
      <w:r w:rsidRPr="00B53AC1">
        <w:rPr>
          <w:rFonts w:ascii="Times New Roman" w:hAnsi="Times New Roman" w:cs="Times New Roman"/>
          <w:sz w:val="24"/>
          <w:szCs w:val="24"/>
        </w:rPr>
        <w:t xml:space="preserve"> in </w:t>
      </w:r>
      <w:proofErr w:type="spellStart"/>
      <w:r w:rsidRPr="00B53AC1">
        <w:rPr>
          <w:rFonts w:ascii="Times New Roman" w:hAnsi="Times New Roman" w:cs="Times New Roman"/>
          <w:sz w:val="24"/>
          <w:szCs w:val="24"/>
        </w:rPr>
        <w:t>School-Aged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Study. </w:t>
      </w:r>
      <w:r w:rsidRPr="00B53AC1">
        <w:rPr>
          <w:rFonts w:ascii="Times New Roman" w:eastAsia="Times New Roman" w:hAnsi="Times New Roman" w:cs="Times New Roman"/>
          <w:i/>
          <w:sz w:val="24"/>
          <w:szCs w:val="24"/>
        </w:rPr>
        <w:t xml:space="preserve">International </w:t>
      </w:r>
      <w:proofErr w:type="spellStart"/>
      <w:r w:rsidRPr="00B53AC1">
        <w:rPr>
          <w:rFonts w:ascii="Times New Roman" w:eastAsia="Times New Roman" w:hAnsi="Times New Roman" w:cs="Times New Roman"/>
          <w:i/>
          <w:sz w:val="24"/>
          <w:szCs w:val="24"/>
        </w:rPr>
        <w:t>Journal</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of</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Environmental</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Research</w:t>
      </w:r>
      <w:proofErr w:type="spellEnd"/>
      <w:r w:rsidRPr="00B53AC1">
        <w:rPr>
          <w:rFonts w:ascii="Times New Roman" w:eastAsia="Times New Roman" w:hAnsi="Times New Roman" w:cs="Times New Roman"/>
          <w:i/>
          <w:sz w:val="24"/>
          <w:szCs w:val="24"/>
        </w:rPr>
        <w:t xml:space="preserve"> and Public </w:t>
      </w:r>
      <w:proofErr w:type="spellStart"/>
      <w:r w:rsidRPr="00B53AC1">
        <w:rPr>
          <w:rFonts w:ascii="Times New Roman" w:eastAsia="Times New Roman" w:hAnsi="Times New Roman" w:cs="Times New Roman"/>
          <w:i/>
          <w:sz w:val="24"/>
          <w:szCs w:val="24"/>
        </w:rPr>
        <w:t>Health</w:t>
      </w:r>
      <w:proofErr w:type="spellEnd"/>
      <w:r w:rsidRPr="00B53AC1">
        <w:rPr>
          <w:rFonts w:ascii="Times New Roman" w:hAnsi="Times New Roman" w:cs="Times New Roman"/>
          <w:i/>
          <w:sz w:val="24"/>
          <w:szCs w:val="24"/>
        </w:rPr>
        <w:t>, 9</w:t>
      </w:r>
      <w:r w:rsidRPr="00B53AC1">
        <w:rPr>
          <w:rFonts w:ascii="Times New Roman" w:hAnsi="Times New Roman" w:cs="Times New Roman"/>
          <w:sz w:val="24"/>
          <w:szCs w:val="24"/>
        </w:rPr>
        <w:t xml:space="preserve">(12), 11848–11868.  </w:t>
      </w:r>
    </w:p>
    <w:p w14:paraId="1F822A91" w14:textId="77777777" w:rsidR="001A515A" w:rsidRPr="00B53AC1" w:rsidRDefault="001A515A" w:rsidP="00B53AC1">
      <w:pPr>
        <w:pStyle w:val="Bezmezer"/>
        <w:spacing w:line="276" w:lineRule="auto"/>
        <w:jc w:val="both"/>
        <w:rPr>
          <w:rFonts w:ascii="Times New Roman" w:hAnsi="Times New Roman" w:cs="Times New Roman"/>
          <w:sz w:val="24"/>
          <w:szCs w:val="24"/>
        </w:rPr>
      </w:pPr>
      <w:r w:rsidRPr="00B53AC1">
        <w:rPr>
          <w:rFonts w:ascii="Times New Roman" w:hAnsi="Times New Roman" w:cs="Times New Roman"/>
          <w:sz w:val="24"/>
          <w:szCs w:val="24"/>
        </w:rPr>
        <w:t xml:space="preserve">Šmahel, Z. (2001). </w:t>
      </w:r>
      <w:r w:rsidRPr="00B53AC1">
        <w:rPr>
          <w:rFonts w:ascii="Times New Roman" w:eastAsia="Times New Roman" w:hAnsi="Times New Roman" w:cs="Times New Roman"/>
          <w:i/>
          <w:sz w:val="24"/>
          <w:szCs w:val="24"/>
        </w:rPr>
        <w:t xml:space="preserve">Principy, teorie a metody </w:t>
      </w:r>
      <w:proofErr w:type="spellStart"/>
      <w:r w:rsidRPr="00B53AC1">
        <w:rPr>
          <w:rFonts w:ascii="Times New Roman" w:eastAsia="Times New Roman" w:hAnsi="Times New Roman" w:cs="Times New Roman"/>
          <w:i/>
          <w:sz w:val="24"/>
          <w:szCs w:val="24"/>
        </w:rPr>
        <w:t>auxologie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B.m</w:t>
      </w:r>
      <w:proofErr w:type="spellEnd"/>
      <w:r w:rsidRPr="00B53AC1">
        <w:rPr>
          <w:rFonts w:ascii="Times New Roman" w:hAnsi="Times New Roman" w:cs="Times New Roman"/>
          <w:sz w:val="24"/>
          <w:szCs w:val="24"/>
        </w:rPr>
        <w:t xml:space="preserve">.: Karolinum. </w:t>
      </w:r>
    </w:p>
    <w:p w14:paraId="5FA7BB77"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Vignerová</w:t>
      </w:r>
      <w:proofErr w:type="spellEnd"/>
      <w:r w:rsidRPr="00B53AC1">
        <w:rPr>
          <w:rFonts w:ascii="Times New Roman" w:hAnsi="Times New Roman" w:cs="Times New Roman"/>
          <w:sz w:val="24"/>
          <w:szCs w:val="24"/>
        </w:rPr>
        <w:t xml:space="preserve">, J., &amp; Bláha, P. (2001). </w:t>
      </w:r>
      <w:r w:rsidRPr="00B53AC1">
        <w:rPr>
          <w:rFonts w:ascii="Times New Roman" w:hAnsi="Times New Roman" w:cs="Times New Roman"/>
          <w:i/>
          <w:sz w:val="24"/>
          <w:szCs w:val="24"/>
        </w:rPr>
        <w:t>Sledování růstu českých dětí a dospívajících</w:t>
      </w:r>
      <w:r w:rsidRPr="00B53AC1">
        <w:rPr>
          <w:rFonts w:ascii="Times New Roman" w:hAnsi="Times New Roman" w:cs="Times New Roman"/>
          <w:sz w:val="24"/>
          <w:szCs w:val="24"/>
        </w:rPr>
        <w:t>. Praha: Státní zdravotní ústav.</w:t>
      </w:r>
    </w:p>
    <w:p w14:paraId="40CFA650" w14:textId="77777777" w:rsidR="001A515A" w:rsidRPr="00B53AC1" w:rsidRDefault="001A515A" w:rsidP="005E73A0">
      <w:pPr>
        <w:pStyle w:val="Bezmezer"/>
        <w:spacing w:line="276" w:lineRule="auto"/>
        <w:ind w:left="284" w:hanging="284"/>
        <w:jc w:val="both"/>
        <w:rPr>
          <w:rFonts w:ascii="Times New Roman" w:hAnsi="Times New Roman" w:cs="Times New Roman"/>
          <w:noProof/>
          <w:sz w:val="24"/>
          <w:szCs w:val="24"/>
        </w:rPr>
      </w:pPr>
      <w:r w:rsidRPr="00B53AC1">
        <w:rPr>
          <w:rFonts w:ascii="Times New Roman" w:hAnsi="Times New Roman" w:cs="Times New Roman"/>
          <w:noProof/>
          <w:sz w:val="24"/>
          <w:szCs w:val="24"/>
        </w:rPr>
        <w:t xml:space="preserve">Vignerová, J., Riedlová, J., Bláha, P., Kobzová, J., Krejčovský, L., Brabec, M., &amp; Hrušková, M. (2006). 6. Celostátní antropologickývýzkum dětí a mládeže 2001, Česká Republika. Souhrnné výsledky. </w:t>
      </w:r>
      <w:r w:rsidRPr="00B53AC1">
        <w:rPr>
          <w:rFonts w:ascii="Times New Roman" w:hAnsi="Times New Roman" w:cs="Times New Roman"/>
          <w:i/>
          <w:iCs/>
          <w:noProof/>
          <w:sz w:val="24"/>
          <w:szCs w:val="24"/>
        </w:rPr>
        <w:t>Státní Zdravotní Ústav Praha</w:t>
      </w:r>
      <w:r w:rsidRPr="00B53AC1">
        <w:rPr>
          <w:rFonts w:ascii="Times New Roman" w:hAnsi="Times New Roman" w:cs="Times New Roman"/>
          <w:noProof/>
          <w:sz w:val="24"/>
          <w:szCs w:val="24"/>
        </w:rPr>
        <w:t>, 236.</w:t>
      </w:r>
    </w:p>
    <w:p w14:paraId="792C1BFB"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shd w:val="clear" w:color="auto" w:fill="FFFFFF"/>
        </w:rPr>
      </w:pPr>
      <w:proofErr w:type="spellStart"/>
      <w:r w:rsidRPr="00B53AC1">
        <w:rPr>
          <w:rFonts w:ascii="Times New Roman" w:hAnsi="Times New Roman" w:cs="Times New Roman"/>
          <w:sz w:val="24"/>
          <w:szCs w:val="24"/>
          <w:shd w:val="clear" w:color="auto" w:fill="FFFFFF"/>
        </w:rPr>
        <w:t>Wells</w:t>
      </w:r>
      <w:proofErr w:type="spellEnd"/>
      <w:r w:rsidRPr="00B53AC1">
        <w:rPr>
          <w:rFonts w:ascii="Times New Roman" w:hAnsi="Times New Roman" w:cs="Times New Roman"/>
          <w:sz w:val="24"/>
          <w:szCs w:val="24"/>
          <w:shd w:val="clear" w:color="auto" w:fill="FFFFFF"/>
        </w:rPr>
        <w:t xml:space="preserve">, J. C. (2014). </w:t>
      </w:r>
      <w:proofErr w:type="spellStart"/>
      <w:r w:rsidRPr="00B53AC1">
        <w:rPr>
          <w:rFonts w:ascii="Times New Roman" w:hAnsi="Times New Roman" w:cs="Times New Roman"/>
          <w:sz w:val="24"/>
          <w:szCs w:val="24"/>
        </w:rPr>
        <w:t>Toward</w:t>
      </w:r>
      <w:proofErr w:type="spellEnd"/>
      <w:r w:rsidRPr="00B53AC1">
        <w:rPr>
          <w:rFonts w:ascii="Times New Roman" w:hAnsi="Times New Roman" w:cs="Times New Roman"/>
          <w:sz w:val="24"/>
          <w:szCs w:val="24"/>
        </w:rPr>
        <w:t xml:space="preserve"> Body </w:t>
      </w:r>
      <w:proofErr w:type="spellStart"/>
      <w:r w:rsidRPr="00B53AC1">
        <w:rPr>
          <w:rFonts w:ascii="Times New Roman" w:hAnsi="Times New Roman" w:cs="Times New Roman"/>
          <w:sz w:val="24"/>
          <w:szCs w:val="24"/>
        </w:rPr>
        <w:t>Composition</w:t>
      </w:r>
      <w:proofErr w:type="spellEnd"/>
      <w:r w:rsidRPr="00B53AC1">
        <w:rPr>
          <w:rFonts w:ascii="Times New Roman" w:hAnsi="Times New Roman" w:cs="Times New Roman"/>
          <w:sz w:val="24"/>
          <w:szCs w:val="24"/>
        </w:rPr>
        <w:t xml:space="preserve"> Reference Data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Infants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Children</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Adolescents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i/>
          <w:sz w:val="24"/>
          <w:szCs w:val="24"/>
        </w:rPr>
        <w:t>Adv</w:t>
      </w:r>
      <w:proofErr w:type="spellEnd"/>
      <w:r w:rsidRPr="00B53AC1">
        <w:rPr>
          <w:rFonts w:ascii="Times New Roman" w:hAnsi="Times New Roman" w:cs="Times New Roman"/>
          <w:i/>
          <w:sz w:val="24"/>
          <w:szCs w:val="24"/>
        </w:rPr>
        <w:t xml:space="preserve"> </w:t>
      </w:r>
      <w:proofErr w:type="spellStart"/>
      <w:r w:rsidRPr="00B53AC1">
        <w:rPr>
          <w:rFonts w:ascii="Times New Roman" w:hAnsi="Times New Roman" w:cs="Times New Roman"/>
          <w:i/>
          <w:sz w:val="24"/>
          <w:szCs w:val="24"/>
        </w:rPr>
        <w:t>Nutr</w:t>
      </w:r>
      <w:proofErr w:type="spellEnd"/>
      <w:r w:rsidRPr="00B53AC1">
        <w:rPr>
          <w:rFonts w:ascii="Times New Roman" w:hAnsi="Times New Roman" w:cs="Times New Roman"/>
          <w:i/>
          <w:sz w:val="24"/>
          <w:szCs w:val="24"/>
        </w:rPr>
        <w:t>, 5</w:t>
      </w:r>
      <w:r w:rsidRPr="00B53AC1">
        <w:rPr>
          <w:rFonts w:ascii="Times New Roman" w:hAnsi="Times New Roman" w:cs="Times New Roman"/>
          <w:sz w:val="24"/>
          <w:szCs w:val="24"/>
        </w:rPr>
        <w:t>(3), 320</w:t>
      </w:r>
      <w:r w:rsidRPr="00B53AC1">
        <w:rPr>
          <w:rFonts w:ascii="Times New Roman" w:hAnsi="Times New Roman" w:cs="Times New Roman"/>
          <w:noProof/>
          <w:sz w:val="24"/>
          <w:szCs w:val="24"/>
        </w:rPr>
        <w:t>–3</w:t>
      </w:r>
      <w:r w:rsidRPr="00B53AC1">
        <w:rPr>
          <w:rFonts w:ascii="Times New Roman" w:hAnsi="Times New Roman" w:cs="Times New Roman"/>
          <w:sz w:val="24"/>
          <w:szCs w:val="24"/>
        </w:rPr>
        <w:t xml:space="preserve">29. </w:t>
      </w:r>
      <w:proofErr w:type="spellStart"/>
      <w:r w:rsidRPr="00B53AC1">
        <w:rPr>
          <w:rFonts w:ascii="Times New Roman" w:hAnsi="Times New Roman" w:cs="Times New Roman"/>
          <w:sz w:val="24"/>
          <w:szCs w:val="24"/>
          <w:shd w:val="clear" w:color="auto" w:fill="FFFFFF"/>
        </w:rPr>
        <w:t>doi</w:t>
      </w:r>
      <w:proofErr w:type="spellEnd"/>
      <w:r w:rsidRPr="00B53AC1">
        <w:rPr>
          <w:rFonts w:ascii="Times New Roman" w:hAnsi="Times New Roman" w:cs="Times New Roman"/>
          <w:sz w:val="24"/>
          <w:szCs w:val="24"/>
          <w:shd w:val="clear" w:color="auto" w:fill="FFFFFF"/>
        </w:rPr>
        <w:t>: 10.3945/an.113.005371</w:t>
      </w:r>
    </w:p>
    <w:p w14:paraId="2C3A72FB"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W</w:t>
      </w:r>
      <w:r>
        <w:rPr>
          <w:rFonts w:ascii="Times New Roman" w:hAnsi="Times New Roman" w:cs="Times New Roman"/>
          <w:sz w:val="24"/>
          <w:szCs w:val="24"/>
        </w:rPr>
        <w:t xml:space="preserve">HO </w:t>
      </w:r>
      <w:r w:rsidRPr="00B53AC1">
        <w:rPr>
          <w:rFonts w:ascii="Times New Roman" w:hAnsi="Times New Roman" w:cs="Times New Roman"/>
          <w:sz w:val="24"/>
          <w:szCs w:val="24"/>
        </w:rPr>
        <w:t xml:space="preserve">(2006). </w:t>
      </w:r>
      <w:proofErr w:type="spellStart"/>
      <w:r w:rsidRPr="00B53AC1">
        <w:rPr>
          <w:rFonts w:ascii="Times New Roman" w:hAnsi="Times New Roman" w:cs="Times New Roman"/>
          <w:sz w:val="24"/>
          <w:szCs w:val="24"/>
        </w:rPr>
        <w:t>Child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Standards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Length</w:t>
      </w:r>
      <w:proofErr w:type="spellEnd"/>
      <w:r w:rsidRPr="00B53AC1">
        <w:rPr>
          <w:rFonts w:ascii="Times New Roman" w:hAnsi="Times New Roman" w:cs="Times New Roman"/>
          <w:sz w:val="24"/>
          <w:szCs w:val="24"/>
        </w:rPr>
        <w:t>/</w:t>
      </w:r>
      <w:proofErr w:type="spellStart"/>
      <w:r w:rsidRPr="00B53AC1">
        <w:rPr>
          <w:rFonts w:ascii="Times New Roman" w:hAnsi="Times New Roman" w:cs="Times New Roman"/>
          <w:sz w:val="24"/>
          <w:szCs w:val="24"/>
        </w:rPr>
        <w:t>height-for-age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weight-for-age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weight-for-length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weight-for-height</w:t>
      </w:r>
      <w:proofErr w:type="spellEnd"/>
      <w:r w:rsidRPr="00B53AC1">
        <w:rPr>
          <w:rFonts w:ascii="Times New Roman" w:hAnsi="Times New Roman" w:cs="Times New Roman"/>
          <w:sz w:val="24"/>
          <w:szCs w:val="24"/>
        </w:rPr>
        <w:t xml:space="preserve"> and body </w:t>
      </w:r>
      <w:proofErr w:type="spellStart"/>
      <w:r w:rsidRPr="00B53AC1">
        <w:rPr>
          <w:rFonts w:ascii="Times New Roman" w:hAnsi="Times New Roman" w:cs="Times New Roman"/>
          <w:sz w:val="24"/>
          <w:szCs w:val="24"/>
        </w:rPr>
        <w:t>mass</w:t>
      </w:r>
      <w:proofErr w:type="spellEnd"/>
      <w:r w:rsidRPr="00B53AC1">
        <w:rPr>
          <w:rFonts w:ascii="Times New Roman" w:hAnsi="Times New Roman" w:cs="Times New Roman"/>
          <w:sz w:val="24"/>
          <w:szCs w:val="24"/>
        </w:rPr>
        <w:t xml:space="preserve"> index-</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w:t>
      </w:r>
      <w:proofErr w:type="spellStart"/>
      <w:r w:rsidRPr="00B53AC1">
        <w:rPr>
          <w:rFonts w:ascii="Times New Roman" w:hAnsi="Times New Roman" w:cs="Times New Roman"/>
          <w:sz w:val="24"/>
          <w:szCs w:val="24"/>
        </w:rPr>
        <w:t>age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Methods</w:t>
      </w:r>
      <w:proofErr w:type="spellEnd"/>
      <w:r w:rsidRPr="00B53AC1">
        <w:rPr>
          <w:rFonts w:ascii="Times New Roman" w:hAnsi="Times New Roman" w:cs="Times New Roman"/>
          <w:sz w:val="24"/>
          <w:szCs w:val="24"/>
        </w:rPr>
        <w:t xml:space="preserve"> and Development. </w:t>
      </w:r>
      <w:proofErr w:type="spellStart"/>
      <w:r w:rsidRPr="00B53AC1">
        <w:rPr>
          <w:rFonts w:ascii="Times New Roman" w:hAnsi="Times New Roman" w:cs="Times New Roman"/>
          <w:sz w:val="24"/>
          <w:szCs w:val="24"/>
        </w:rPr>
        <w:t>Retrieved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from</w:t>
      </w:r>
      <w:proofErr w:type="spellEnd"/>
      <w:r w:rsidRPr="00B53AC1">
        <w:rPr>
          <w:rFonts w:ascii="Times New Roman" w:hAnsi="Times New Roman" w:cs="Times New Roman"/>
          <w:sz w:val="24"/>
          <w:szCs w:val="24"/>
        </w:rPr>
        <w:t xml:space="preserve"> http://www.who.int/childgrowth/standards/technical_report/en/.</w:t>
      </w:r>
    </w:p>
    <w:p w14:paraId="5959D854" w14:textId="77777777" w:rsidR="001A515A" w:rsidRPr="00B53AC1" w:rsidRDefault="001A515A" w:rsidP="005E73A0">
      <w:pPr>
        <w:pStyle w:val="Bezmezer"/>
        <w:spacing w:line="276" w:lineRule="auto"/>
        <w:ind w:left="284" w:hanging="284"/>
        <w:jc w:val="both"/>
        <w:rPr>
          <w:rFonts w:ascii="Times New Roman" w:hAnsi="Times New Roman" w:cs="Times New Roman"/>
          <w:noProof/>
          <w:sz w:val="24"/>
          <w:szCs w:val="24"/>
        </w:rPr>
      </w:pPr>
      <w:r w:rsidRPr="00B53AC1">
        <w:rPr>
          <w:rFonts w:ascii="Times New Roman" w:hAnsi="Times New Roman" w:cs="Times New Roman"/>
          <w:noProof/>
          <w:sz w:val="24"/>
          <w:szCs w:val="24"/>
        </w:rPr>
        <w:t xml:space="preserve">WHO (2009). Prevalence of Overweight and Obesity in Children and Adolescents. </w:t>
      </w:r>
      <w:r w:rsidRPr="00B53AC1">
        <w:rPr>
          <w:rFonts w:ascii="Times New Roman" w:hAnsi="Times New Roman" w:cs="Times New Roman"/>
          <w:i/>
          <w:iCs/>
          <w:noProof/>
          <w:sz w:val="24"/>
          <w:szCs w:val="24"/>
        </w:rPr>
        <w:t>European Environment and Health Information System</w:t>
      </w:r>
      <w:r w:rsidRPr="00B53AC1">
        <w:rPr>
          <w:rFonts w:ascii="Times New Roman" w:hAnsi="Times New Roman" w:cs="Times New Roman"/>
          <w:noProof/>
          <w:sz w:val="24"/>
          <w:szCs w:val="24"/>
        </w:rPr>
        <w:t xml:space="preserve">, </w:t>
      </w:r>
      <w:r w:rsidRPr="00B53AC1">
        <w:rPr>
          <w:rFonts w:ascii="Times New Roman" w:hAnsi="Times New Roman" w:cs="Times New Roman"/>
          <w:i/>
          <w:iCs/>
          <w:noProof/>
          <w:sz w:val="24"/>
          <w:szCs w:val="24"/>
        </w:rPr>
        <w:t>2006</w:t>
      </w:r>
      <w:r w:rsidRPr="00B53AC1">
        <w:rPr>
          <w:rFonts w:ascii="Times New Roman" w:hAnsi="Times New Roman" w:cs="Times New Roman"/>
          <w:noProof/>
          <w:sz w:val="24"/>
          <w:szCs w:val="24"/>
        </w:rPr>
        <w:t>(December), 1–7. Retrieved from http://www.euro.who.int/__data/assets/pdf_file/0005/96980/2.3.-Prevalence-of-overweight-and-obesity-EDITED_layouted_V3.pdf</w:t>
      </w:r>
    </w:p>
    <w:p w14:paraId="66CD03DA"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r w:rsidRPr="00B53AC1">
        <w:rPr>
          <w:rFonts w:ascii="Times New Roman" w:hAnsi="Times New Roman" w:cs="Times New Roman"/>
          <w:sz w:val="24"/>
          <w:szCs w:val="24"/>
        </w:rPr>
        <w:t xml:space="preserve">WHO (2016). </w:t>
      </w:r>
      <w:r w:rsidRPr="00B53AC1">
        <w:rPr>
          <w:rFonts w:ascii="Times New Roman" w:hAnsi="Times New Roman" w:cs="Times New Roman"/>
          <w:i/>
          <w:sz w:val="24"/>
          <w:szCs w:val="24"/>
        </w:rPr>
        <w:t xml:space="preserve">Obesity and </w:t>
      </w:r>
      <w:proofErr w:type="spellStart"/>
      <w:r w:rsidRPr="00B53AC1">
        <w:rPr>
          <w:rFonts w:ascii="Times New Roman" w:hAnsi="Times New Roman" w:cs="Times New Roman"/>
          <w:i/>
          <w:sz w:val="24"/>
          <w:szCs w:val="24"/>
        </w:rPr>
        <w:t>overweight</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Retrieved</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from</w:t>
      </w:r>
      <w:proofErr w:type="spellEnd"/>
      <w:r w:rsidRPr="00B53AC1">
        <w:rPr>
          <w:rFonts w:ascii="Times New Roman" w:hAnsi="Times New Roman" w:cs="Times New Roman"/>
          <w:sz w:val="24"/>
          <w:szCs w:val="24"/>
        </w:rPr>
        <w:t xml:space="preserve"> http://www.who.int/mediacentre/factsheets/fs311/en/</w:t>
      </w:r>
    </w:p>
    <w:p w14:paraId="6219AD44" w14:textId="77777777" w:rsidR="001A515A" w:rsidRPr="00B53AC1"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Wright</w:t>
      </w:r>
      <w:proofErr w:type="spellEnd"/>
      <w:r w:rsidRPr="00B53AC1">
        <w:rPr>
          <w:rFonts w:ascii="Times New Roman" w:hAnsi="Times New Roman" w:cs="Times New Roman"/>
          <w:sz w:val="24"/>
          <w:szCs w:val="24"/>
        </w:rPr>
        <w:t xml:space="preserve">, Ch. M., </w:t>
      </w:r>
      <w:proofErr w:type="spellStart"/>
      <w:r w:rsidRPr="00B53AC1">
        <w:rPr>
          <w:rFonts w:ascii="Times New Roman" w:hAnsi="Times New Roman" w:cs="Times New Roman"/>
          <w:sz w:val="24"/>
          <w:szCs w:val="24"/>
        </w:rPr>
        <w:t>Sachs</w:t>
      </w:r>
      <w:proofErr w:type="spellEnd"/>
      <w:r w:rsidRPr="00B53AC1">
        <w:rPr>
          <w:rFonts w:ascii="Times New Roman" w:hAnsi="Times New Roman" w:cs="Times New Roman"/>
          <w:sz w:val="24"/>
          <w:szCs w:val="24"/>
        </w:rPr>
        <w:t xml:space="preserve">, M., </w:t>
      </w:r>
      <w:proofErr w:type="spellStart"/>
      <w:r w:rsidRPr="00B53AC1">
        <w:rPr>
          <w:rFonts w:ascii="Times New Roman" w:hAnsi="Times New Roman" w:cs="Times New Roman"/>
          <w:sz w:val="24"/>
          <w:szCs w:val="24"/>
        </w:rPr>
        <w:t>Short</w:t>
      </w:r>
      <w:proofErr w:type="spellEnd"/>
      <w:r w:rsidRPr="00B53AC1">
        <w:rPr>
          <w:rFonts w:ascii="Times New Roman" w:hAnsi="Times New Roman" w:cs="Times New Roman"/>
          <w:sz w:val="24"/>
          <w:szCs w:val="24"/>
        </w:rPr>
        <w:t xml:space="preserve">, J., Sharp, L., </w:t>
      </w:r>
      <w:proofErr w:type="spellStart"/>
      <w:r w:rsidRPr="00B53AC1">
        <w:rPr>
          <w:rFonts w:ascii="Times New Roman" w:hAnsi="Times New Roman" w:cs="Times New Roman"/>
          <w:sz w:val="24"/>
          <w:szCs w:val="24"/>
        </w:rPr>
        <w:t>Cameron</w:t>
      </w:r>
      <w:proofErr w:type="spellEnd"/>
      <w:r w:rsidRPr="00B53AC1">
        <w:rPr>
          <w:rFonts w:ascii="Times New Roman" w:hAnsi="Times New Roman" w:cs="Times New Roman"/>
          <w:sz w:val="24"/>
          <w:szCs w:val="24"/>
        </w:rPr>
        <w:t xml:space="preserve">, K., &amp; Moy, R. J. (2012). </w:t>
      </w:r>
      <w:proofErr w:type="spellStart"/>
      <w:r w:rsidRPr="00B53AC1">
        <w:rPr>
          <w:rFonts w:ascii="Times New Roman" w:hAnsi="Times New Roman" w:cs="Times New Roman"/>
          <w:sz w:val="24"/>
          <w:szCs w:val="24"/>
        </w:rPr>
        <w:t>Designing</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new</w:t>
      </w:r>
      <w:proofErr w:type="spellEnd"/>
      <w:r w:rsidRPr="00B53AC1">
        <w:rPr>
          <w:rFonts w:ascii="Times New Roman" w:hAnsi="Times New Roman" w:cs="Times New Roman"/>
          <w:sz w:val="24"/>
          <w:szCs w:val="24"/>
        </w:rPr>
        <w:t xml:space="preserve"> UK-WHO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charts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implications</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for</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health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staff</w:t>
      </w:r>
      <w:proofErr w:type="spellEnd"/>
      <w:r w:rsidRPr="00B53AC1">
        <w:rPr>
          <w:rFonts w:ascii="Times New Roman" w:hAnsi="Times New Roman" w:cs="Times New Roman"/>
          <w:sz w:val="24"/>
          <w:szCs w:val="24"/>
        </w:rPr>
        <w:t xml:space="preserve"> use and </w:t>
      </w:r>
      <w:proofErr w:type="spellStart"/>
      <w:r w:rsidRPr="00B53AC1">
        <w:rPr>
          <w:rFonts w:ascii="Times New Roman" w:hAnsi="Times New Roman" w:cs="Times New Roman"/>
          <w:sz w:val="24"/>
          <w:szCs w:val="24"/>
        </w:rPr>
        <w:t>understanding</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of</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charts</w:t>
      </w:r>
      <w:proofErr w:type="spellEnd"/>
      <w:r w:rsidRPr="00B53AC1">
        <w:rPr>
          <w:rFonts w:ascii="Times New Roman" w:hAnsi="Times New Roman" w:cs="Times New Roman"/>
          <w:sz w:val="24"/>
          <w:szCs w:val="24"/>
        </w:rPr>
        <w:t xml:space="preserve"> and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monitoring. </w:t>
      </w:r>
      <w:proofErr w:type="spellStart"/>
      <w:r w:rsidRPr="00B53AC1">
        <w:rPr>
          <w:rFonts w:ascii="Times New Roman" w:eastAsia="Times New Roman" w:hAnsi="Times New Roman" w:cs="Times New Roman"/>
          <w:i/>
          <w:sz w:val="24"/>
          <w:szCs w:val="24"/>
        </w:rPr>
        <w:t>Maternal</w:t>
      </w:r>
      <w:proofErr w:type="spellEnd"/>
      <w:r w:rsidRPr="00B53AC1">
        <w:rPr>
          <w:rFonts w:ascii="Times New Roman" w:eastAsia="Times New Roman" w:hAnsi="Times New Roman" w:cs="Times New Roman"/>
          <w:i/>
          <w:sz w:val="24"/>
          <w:szCs w:val="24"/>
        </w:rPr>
        <w:t xml:space="preserve"> &amp; </w:t>
      </w:r>
      <w:proofErr w:type="spellStart"/>
      <w:r w:rsidRPr="00B53AC1">
        <w:rPr>
          <w:rFonts w:ascii="Times New Roman" w:eastAsia="Times New Roman" w:hAnsi="Times New Roman" w:cs="Times New Roman"/>
          <w:i/>
          <w:sz w:val="24"/>
          <w:szCs w:val="24"/>
        </w:rPr>
        <w:t>Child</w:t>
      </w:r>
      <w:proofErr w:type="spellEnd"/>
      <w:r w:rsidRPr="00B53AC1">
        <w:rPr>
          <w:rFonts w:ascii="Times New Roman" w:eastAsia="Times New Roman" w:hAnsi="Times New Roman" w:cs="Times New Roman"/>
          <w:i/>
          <w:sz w:val="24"/>
          <w:szCs w:val="24"/>
        </w:rPr>
        <w:t xml:space="preserve"> </w:t>
      </w:r>
      <w:proofErr w:type="spellStart"/>
      <w:r w:rsidRPr="00B53AC1">
        <w:rPr>
          <w:rFonts w:ascii="Times New Roman" w:eastAsia="Times New Roman" w:hAnsi="Times New Roman" w:cs="Times New Roman"/>
          <w:i/>
          <w:sz w:val="24"/>
          <w:szCs w:val="24"/>
        </w:rPr>
        <w:t>Nutrition</w:t>
      </w:r>
      <w:proofErr w:type="spellEnd"/>
      <w:r w:rsidRPr="00B53AC1">
        <w:rPr>
          <w:rFonts w:ascii="Times New Roman" w:hAnsi="Times New Roman" w:cs="Times New Roman"/>
          <w:i/>
          <w:sz w:val="24"/>
          <w:szCs w:val="24"/>
        </w:rPr>
        <w:t>, 8</w:t>
      </w:r>
      <w:r w:rsidRPr="00B53AC1">
        <w:rPr>
          <w:rFonts w:ascii="Times New Roman" w:hAnsi="Times New Roman" w:cs="Times New Roman"/>
          <w:sz w:val="24"/>
          <w:szCs w:val="24"/>
        </w:rPr>
        <w:t xml:space="preserve">(3), 371–379.  </w:t>
      </w:r>
    </w:p>
    <w:p w14:paraId="0E18F933" w14:textId="77777777" w:rsidR="001A515A" w:rsidRDefault="001A515A" w:rsidP="005E73A0">
      <w:pPr>
        <w:pStyle w:val="Bezmezer"/>
        <w:spacing w:line="276" w:lineRule="auto"/>
        <w:ind w:left="284" w:hanging="284"/>
        <w:jc w:val="both"/>
        <w:rPr>
          <w:rFonts w:ascii="Times New Roman" w:hAnsi="Times New Roman" w:cs="Times New Roman"/>
          <w:sz w:val="24"/>
          <w:szCs w:val="24"/>
        </w:rPr>
      </w:pPr>
      <w:proofErr w:type="spellStart"/>
      <w:r w:rsidRPr="00B53AC1">
        <w:rPr>
          <w:rFonts w:ascii="Times New Roman" w:hAnsi="Times New Roman" w:cs="Times New Roman"/>
          <w:sz w:val="24"/>
          <w:szCs w:val="24"/>
        </w:rPr>
        <w:t>Wright</w:t>
      </w:r>
      <w:proofErr w:type="spellEnd"/>
      <w:r w:rsidRPr="00B53AC1">
        <w:rPr>
          <w:rFonts w:ascii="Times New Roman" w:hAnsi="Times New Roman" w:cs="Times New Roman"/>
          <w:sz w:val="24"/>
          <w:szCs w:val="24"/>
        </w:rPr>
        <w:t xml:space="preserve">, Ch. M., </w:t>
      </w:r>
      <w:proofErr w:type="spellStart"/>
      <w:r w:rsidRPr="00B53AC1">
        <w:rPr>
          <w:rFonts w:ascii="Times New Roman" w:hAnsi="Times New Roman" w:cs="Times New Roman"/>
          <w:sz w:val="24"/>
          <w:szCs w:val="24"/>
        </w:rPr>
        <w:t>Williams</w:t>
      </w:r>
      <w:proofErr w:type="spellEnd"/>
      <w:r w:rsidRPr="00B53AC1">
        <w:rPr>
          <w:rFonts w:ascii="Times New Roman" w:hAnsi="Times New Roman" w:cs="Times New Roman"/>
          <w:sz w:val="24"/>
          <w:szCs w:val="24"/>
        </w:rPr>
        <w:t xml:space="preserve">, A. F., </w:t>
      </w:r>
      <w:proofErr w:type="spellStart"/>
      <w:r w:rsidRPr="00B53AC1">
        <w:rPr>
          <w:rFonts w:ascii="Times New Roman" w:hAnsi="Times New Roman" w:cs="Times New Roman"/>
          <w:sz w:val="24"/>
          <w:szCs w:val="24"/>
        </w:rPr>
        <w:t>Elliman</w:t>
      </w:r>
      <w:proofErr w:type="spellEnd"/>
      <w:r w:rsidRPr="00B53AC1">
        <w:rPr>
          <w:rFonts w:ascii="Times New Roman" w:hAnsi="Times New Roman" w:cs="Times New Roman"/>
          <w:sz w:val="24"/>
          <w:szCs w:val="24"/>
        </w:rPr>
        <w:t xml:space="preserve">, D., </w:t>
      </w:r>
      <w:proofErr w:type="spellStart"/>
      <w:r w:rsidRPr="00B53AC1">
        <w:rPr>
          <w:rFonts w:ascii="Times New Roman" w:hAnsi="Times New Roman" w:cs="Times New Roman"/>
          <w:sz w:val="24"/>
          <w:szCs w:val="24"/>
        </w:rPr>
        <w:t>Bedford</w:t>
      </w:r>
      <w:proofErr w:type="spellEnd"/>
      <w:r w:rsidRPr="00B53AC1">
        <w:rPr>
          <w:rFonts w:ascii="Times New Roman" w:hAnsi="Times New Roman" w:cs="Times New Roman"/>
          <w:sz w:val="24"/>
          <w:szCs w:val="24"/>
        </w:rPr>
        <w:t xml:space="preserve">, H., </w:t>
      </w:r>
      <w:proofErr w:type="spellStart"/>
      <w:r w:rsidRPr="00B53AC1">
        <w:rPr>
          <w:rFonts w:ascii="Times New Roman" w:hAnsi="Times New Roman" w:cs="Times New Roman"/>
          <w:sz w:val="24"/>
          <w:szCs w:val="24"/>
        </w:rPr>
        <w:t>Birks</w:t>
      </w:r>
      <w:proofErr w:type="spellEnd"/>
      <w:r w:rsidRPr="00B53AC1">
        <w:rPr>
          <w:rFonts w:ascii="Times New Roman" w:hAnsi="Times New Roman" w:cs="Times New Roman"/>
          <w:sz w:val="24"/>
          <w:szCs w:val="24"/>
        </w:rPr>
        <w:t xml:space="preserve">, E., </w:t>
      </w:r>
      <w:proofErr w:type="spellStart"/>
      <w:r w:rsidRPr="00B53AC1">
        <w:rPr>
          <w:rFonts w:ascii="Times New Roman" w:hAnsi="Times New Roman" w:cs="Times New Roman"/>
          <w:sz w:val="24"/>
          <w:szCs w:val="24"/>
        </w:rPr>
        <w:t>Butler</w:t>
      </w:r>
      <w:proofErr w:type="spellEnd"/>
      <w:r w:rsidRPr="00B53AC1">
        <w:rPr>
          <w:rFonts w:ascii="Times New Roman" w:hAnsi="Times New Roman" w:cs="Times New Roman"/>
          <w:sz w:val="24"/>
          <w:szCs w:val="24"/>
        </w:rPr>
        <w:t xml:space="preserve">, G., … </w:t>
      </w:r>
      <w:proofErr w:type="spellStart"/>
      <w:r w:rsidRPr="00B53AC1">
        <w:rPr>
          <w:rFonts w:ascii="Times New Roman" w:hAnsi="Times New Roman" w:cs="Times New Roman"/>
          <w:sz w:val="24"/>
          <w:szCs w:val="24"/>
        </w:rPr>
        <w:t>Cole</w:t>
      </w:r>
      <w:proofErr w:type="spellEnd"/>
      <w:r w:rsidRPr="00B53AC1">
        <w:rPr>
          <w:rFonts w:ascii="Times New Roman" w:hAnsi="Times New Roman" w:cs="Times New Roman"/>
          <w:sz w:val="24"/>
          <w:szCs w:val="24"/>
        </w:rPr>
        <w:t xml:space="preserve">, T. J. (2010). </w:t>
      </w:r>
      <w:proofErr w:type="spellStart"/>
      <w:r w:rsidRPr="00B53AC1">
        <w:rPr>
          <w:rFonts w:ascii="Times New Roman" w:hAnsi="Times New Roman" w:cs="Times New Roman"/>
          <w:sz w:val="24"/>
          <w:szCs w:val="24"/>
        </w:rPr>
        <w:t>Using</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the</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new</w:t>
      </w:r>
      <w:proofErr w:type="spellEnd"/>
      <w:r w:rsidRPr="00B53AC1">
        <w:rPr>
          <w:rFonts w:ascii="Times New Roman" w:hAnsi="Times New Roman" w:cs="Times New Roman"/>
          <w:sz w:val="24"/>
          <w:szCs w:val="24"/>
        </w:rPr>
        <w:t xml:space="preserve"> UK-WHO </w:t>
      </w:r>
      <w:proofErr w:type="spellStart"/>
      <w:r w:rsidRPr="00B53AC1">
        <w:rPr>
          <w:rFonts w:ascii="Times New Roman" w:hAnsi="Times New Roman" w:cs="Times New Roman"/>
          <w:sz w:val="24"/>
          <w:szCs w:val="24"/>
        </w:rPr>
        <w:t>growth</w:t>
      </w:r>
      <w:proofErr w:type="spellEnd"/>
      <w:r w:rsidRPr="00B53AC1">
        <w:rPr>
          <w:rFonts w:ascii="Times New Roman" w:hAnsi="Times New Roman" w:cs="Times New Roman"/>
          <w:sz w:val="24"/>
          <w:szCs w:val="24"/>
        </w:rPr>
        <w:t xml:space="preserve"> </w:t>
      </w:r>
      <w:proofErr w:type="spellStart"/>
      <w:r w:rsidRPr="00B53AC1">
        <w:rPr>
          <w:rFonts w:ascii="Times New Roman" w:hAnsi="Times New Roman" w:cs="Times New Roman"/>
          <w:sz w:val="24"/>
          <w:szCs w:val="24"/>
        </w:rPr>
        <w:t>charts</w:t>
      </w:r>
      <w:proofErr w:type="spellEnd"/>
      <w:r w:rsidRPr="00B53AC1">
        <w:rPr>
          <w:rFonts w:ascii="Times New Roman" w:hAnsi="Times New Roman" w:cs="Times New Roman"/>
          <w:sz w:val="24"/>
          <w:szCs w:val="24"/>
        </w:rPr>
        <w:t xml:space="preserve">. </w:t>
      </w:r>
      <w:r w:rsidRPr="00B53AC1">
        <w:rPr>
          <w:rFonts w:ascii="Times New Roman" w:eastAsia="Times New Roman" w:hAnsi="Times New Roman" w:cs="Times New Roman"/>
          <w:i/>
          <w:sz w:val="24"/>
          <w:szCs w:val="24"/>
        </w:rPr>
        <w:t>BMJ</w:t>
      </w:r>
      <w:r w:rsidRPr="00B53AC1">
        <w:rPr>
          <w:rFonts w:ascii="Times New Roman" w:hAnsi="Times New Roman" w:cs="Times New Roman"/>
          <w:sz w:val="24"/>
          <w:szCs w:val="24"/>
        </w:rPr>
        <w:t xml:space="preserve">, </w:t>
      </w:r>
      <w:r w:rsidRPr="00B53AC1">
        <w:rPr>
          <w:rFonts w:ascii="Times New Roman" w:hAnsi="Times New Roman" w:cs="Times New Roman"/>
          <w:i/>
          <w:sz w:val="24"/>
          <w:szCs w:val="24"/>
        </w:rPr>
        <w:t>340</w:t>
      </w:r>
      <w:r w:rsidRPr="00B53AC1">
        <w:rPr>
          <w:rFonts w:ascii="Times New Roman" w:hAnsi="Times New Roman" w:cs="Times New Roman"/>
          <w:sz w:val="24"/>
          <w:szCs w:val="24"/>
        </w:rPr>
        <w:t xml:space="preserve">, c1140.  </w:t>
      </w:r>
    </w:p>
    <w:p w14:paraId="298AB380" w14:textId="77777777" w:rsidR="005933E5" w:rsidRPr="00B53AC1" w:rsidRDefault="005933E5" w:rsidP="005E73A0">
      <w:pPr>
        <w:pStyle w:val="Bezmezer"/>
        <w:spacing w:line="276" w:lineRule="auto"/>
        <w:ind w:left="284" w:hanging="284"/>
        <w:jc w:val="both"/>
        <w:rPr>
          <w:rFonts w:ascii="Times New Roman" w:hAnsi="Times New Roman" w:cs="Times New Roman"/>
          <w:sz w:val="24"/>
          <w:szCs w:val="24"/>
        </w:rPr>
      </w:pPr>
    </w:p>
    <w:p w14:paraId="420779C0" w14:textId="77777777" w:rsidR="0030504A" w:rsidRDefault="0030504A" w:rsidP="00590987">
      <w:pPr>
        <w:ind w:left="-5" w:right="13"/>
      </w:pPr>
    </w:p>
    <w:p w14:paraId="33D68BD3" w14:textId="77777777" w:rsidR="00590987" w:rsidRDefault="00590987" w:rsidP="00590987">
      <w:pPr>
        <w:ind w:left="-5" w:right="13"/>
      </w:pPr>
    </w:p>
    <w:p w14:paraId="48BEE5A9" w14:textId="77777777" w:rsidR="00590987" w:rsidRDefault="00590987" w:rsidP="00590987">
      <w:pPr>
        <w:ind w:left="-5" w:right="13"/>
      </w:pPr>
    </w:p>
    <w:p w14:paraId="6467990B" w14:textId="40D58F63" w:rsidR="002B4618" w:rsidRDefault="002B4618" w:rsidP="009B6432">
      <w:pPr>
        <w:spacing w:after="268" w:line="396" w:lineRule="auto"/>
        <w:ind w:right="13"/>
      </w:pPr>
    </w:p>
    <w:sectPr w:rsidR="002B4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475C0"/>
    <w:multiLevelType w:val="hybridMultilevel"/>
    <w:tmpl w:val="77EE66E6"/>
    <w:lvl w:ilvl="0" w:tplc="E0D83A5C">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695239D2"/>
    <w:multiLevelType w:val="hybridMultilevel"/>
    <w:tmpl w:val="C712B906"/>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 w15:restartNumberingAfterBreak="0">
    <w:nsid w:val="720E6646"/>
    <w:multiLevelType w:val="hybridMultilevel"/>
    <w:tmpl w:val="8DD6ACCA"/>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18"/>
    <w:rsid w:val="0001058B"/>
    <w:rsid w:val="000138EF"/>
    <w:rsid w:val="0002194D"/>
    <w:rsid w:val="000236A0"/>
    <w:rsid w:val="00034BDE"/>
    <w:rsid w:val="00044FF4"/>
    <w:rsid w:val="000471A3"/>
    <w:rsid w:val="00051EA1"/>
    <w:rsid w:val="00060675"/>
    <w:rsid w:val="00060A16"/>
    <w:rsid w:val="00067A07"/>
    <w:rsid w:val="0008015A"/>
    <w:rsid w:val="00081413"/>
    <w:rsid w:val="000821EC"/>
    <w:rsid w:val="0008784D"/>
    <w:rsid w:val="00096AA5"/>
    <w:rsid w:val="000A6B6F"/>
    <w:rsid w:val="000A7C5F"/>
    <w:rsid w:val="000B1836"/>
    <w:rsid w:val="000B24DD"/>
    <w:rsid w:val="000C549C"/>
    <w:rsid w:val="000C630C"/>
    <w:rsid w:val="000D20C2"/>
    <w:rsid w:val="000D4254"/>
    <w:rsid w:val="000D63BA"/>
    <w:rsid w:val="000F0851"/>
    <w:rsid w:val="00105B53"/>
    <w:rsid w:val="00106CB5"/>
    <w:rsid w:val="0012533D"/>
    <w:rsid w:val="00127016"/>
    <w:rsid w:val="00127E81"/>
    <w:rsid w:val="001412B8"/>
    <w:rsid w:val="001437BF"/>
    <w:rsid w:val="00145AA2"/>
    <w:rsid w:val="00151FC1"/>
    <w:rsid w:val="001620AA"/>
    <w:rsid w:val="00166DB0"/>
    <w:rsid w:val="001721A5"/>
    <w:rsid w:val="00176A31"/>
    <w:rsid w:val="001A515A"/>
    <w:rsid w:val="001A5557"/>
    <w:rsid w:val="001A5A6F"/>
    <w:rsid w:val="001A6A39"/>
    <w:rsid w:val="001B593B"/>
    <w:rsid w:val="001B5E94"/>
    <w:rsid w:val="001C183E"/>
    <w:rsid w:val="001C643E"/>
    <w:rsid w:val="001C7E28"/>
    <w:rsid w:val="001D483B"/>
    <w:rsid w:val="001E0198"/>
    <w:rsid w:val="001F6642"/>
    <w:rsid w:val="00212C88"/>
    <w:rsid w:val="00230ADD"/>
    <w:rsid w:val="00231E8A"/>
    <w:rsid w:val="0023567B"/>
    <w:rsid w:val="002360D9"/>
    <w:rsid w:val="002416E5"/>
    <w:rsid w:val="002554EB"/>
    <w:rsid w:val="0025559A"/>
    <w:rsid w:val="002707E8"/>
    <w:rsid w:val="0028159D"/>
    <w:rsid w:val="00283A42"/>
    <w:rsid w:val="00291F87"/>
    <w:rsid w:val="002A75FB"/>
    <w:rsid w:val="002B06E5"/>
    <w:rsid w:val="002B4618"/>
    <w:rsid w:val="002C02C4"/>
    <w:rsid w:val="002D64F7"/>
    <w:rsid w:val="002E5E0B"/>
    <w:rsid w:val="002F35DE"/>
    <w:rsid w:val="002F4809"/>
    <w:rsid w:val="002F4CC4"/>
    <w:rsid w:val="002F58F7"/>
    <w:rsid w:val="0030261A"/>
    <w:rsid w:val="0030504A"/>
    <w:rsid w:val="00305425"/>
    <w:rsid w:val="003059D7"/>
    <w:rsid w:val="00314CAD"/>
    <w:rsid w:val="00317731"/>
    <w:rsid w:val="003202BF"/>
    <w:rsid w:val="00323983"/>
    <w:rsid w:val="003276B8"/>
    <w:rsid w:val="00330B53"/>
    <w:rsid w:val="00331CA9"/>
    <w:rsid w:val="003348D8"/>
    <w:rsid w:val="00337514"/>
    <w:rsid w:val="00341930"/>
    <w:rsid w:val="00345547"/>
    <w:rsid w:val="00352ADA"/>
    <w:rsid w:val="00354695"/>
    <w:rsid w:val="00367029"/>
    <w:rsid w:val="0037217C"/>
    <w:rsid w:val="003731A2"/>
    <w:rsid w:val="00375280"/>
    <w:rsid w:val="0037534E"/>
    <w:rsid w:val="003833F3"/>
    <w:rsid w:val="00391D89"/>
    <w:rsid w:val="00394593"/>
    <w:rsid w:val="003B496A"/>
    <w:rsid w:val="003B78ED"/>
    <w:rsid w:val="003C3F4A"/>
    <w:rsid w:val="003D2821"/>
    <w:rsid w:val="003D783A"/>
    <w:rsid w:val="003E183D"/>
    <w:rsid w:val="003E3872"/>
    <w:rsid w:val="003E3EEF"/>
    <w:rsid w:val="003E70EE"/>
    <w:rsid w:val="003F1382"/>
    <w:rsid w:val="003F5415"/>
    <w:rsid w:val="003F5C16"/>
    <w:rsid w:val="003F6E1B"/>
    <w:rsid w:val="00401158"/>
    <w:rsid w:val="0040519B"/>
    <w:rsid w:val="004116C1"/>
    <w:rsid w:val="00412089"/>
    <w:rsid w:val="004255F4"/>
    <w:rsid w:val="00427617"/>
    <w:rsid w:val="004374AA"/>
    <w:rsid w:val="004405B8"/>
    <w:rsid w:val="00452264"/>
    <w:rsid w:val="0046462D"/>
    <w:rsid w:val="00466A12"/>
    <w:rsid w:val="004750F5"/>
    <w:rsid w:val="00477BCA"/>
    <w:rsid w:val="00491555"/>
    <w:rsid w:val="00495CC5"/>
    <w:rsid w:val="004A017B"/>
    <w:rsid w:val="004A5859"/>
    <w:rsid w:val="004A6119"/>
    <w:rsid w:val="004B1250"/>
    <w:rsid w:val="004C09D1"/>
    <w:rsid w:val="004C21B4"/>
    <w:rsid w:val="004C303C"/>
    <w:rsid w:val="004D0B46"/>
    <w:rsid w:val="004D3692"/>
    <w:rsid w:val="004D55E1"/>
    <w:rsid w:val="004D68CD"/>
    <w:rsid w:val="004E2AB6"/>
    <w:rsid w:val="005218B6"/>
    <w:rsid w:val="00521C9A"/>
    <w:rsid w:val="00524EC9"/>
    <w:rsid w:val="005263DF"/>
    <w:rsid w:val="00535D08"/>
    <w:rsid w:val="00543496"/>
    <w:rsid w:val="00560F25"/>
    <w:rsid w:val="00562262"/>
    <w:rsid w:val="00565348"/>
    <w:rsid w:val="005767BE"/>
    <w:rsid w:val="00577825"/>
    <w:rsid w:val="00584DF4"/>
    <w:rsid w:val="00585893"/>
    <w:rsid w:val="00585BC7"/>
    <w:rsid w:val="005868FC"/>
    <w:rsid w:val="00590987"/>
    <w:rsid w:val="005933E5"/>
    <w:rsid w:val="00596E8C"/>
    <w:rsid w:val="00597CDC"/>
    <w:rsid w:val="005A18B2"/>
    <w:rsid w:val="005A4892"/>
    <w:rsid w:val="005B2697"/>
    <w:rsid w:val="005B6B8D"/>
    <w:rsid w:val="005C0AEF"/>
    <w:rsid w:val="005D0200"/>
    <w:rsid w:val="005D294A"/>
    <w:rsid w:val="005E00D3"/>
    <w:rsid w:val="005E1153"/>
    <w:rsid w:val="005E5F86"/>
    <w:rsid w:val="005E73A0"/>
    <w:rsid w:val="005E74CF"/>
    <w:rsid w:val="005F03CD"/>
    <w:rsid w:val="005F53EB"/>
    <w:rsid w:val="00601A36"/>
    <w:rsid w:val="00607B75"/>
    <w:rsid w:val="006112D3"/>
    <w:rsid w:val="006136B2"/>
    <w:rsid w:val="00630ECA"/>
    <w:rsid w:val="00630FAB"/>
    <w:rsid w:val="0064017F"/>
    <w:rsid w:val="0064196F"/>
    <w:rsid w:val="006441F1"/>
    <w:rsid w:val="006522FD"/>
    <w:rsid w:val="00655C70"/>
    <w:rsid w:val="006566CA"/>
    <w:rsid w:val="00674D7B"/>
    <w:rsid w:val="00680782"/>
    <w:rsid w:val="00682720"/>
    <w:rsid w:val="00683769"/>
    <w:rsid w:val="006845DD"/>
    <w:rsid w:val="00691643"/>
    <w:rsid w:val="00691CD9"/>
    <w:rsid w:val="006938B0"/>
    <w:rsid w:val="006A10EE"/>
    <w:rsid w:val="006A20A0"/>
    <w:rsid w:val="006B564F"/>
    <w:rsid w:val="006C1477"/>
    <w:rsid w:val="006C2CC6"/>
    <w:rsid w:val="006C654E"/>
    <w:rsid w:val="006C6EB7"/>
    <w:rsid w:val="006D12E0"/>
    <w:rsid w:val="006E0C8E"/>
    <w:rsid w:val="006E33A2"/>
    <w:rsid w:val="006F16A7"/>
    <w:rsid w:val="007001A2"/>
    <w:rsid w:val="0070053A"/>
    <w:rsid w:val="007057A9"/>
    <w:rsid w:val="0071021B"/>
    <w:rsid w:val="00710AEA"/>
    <w:rsid w:val="007175F3"/>
    <w:rsid w:val="00722835"/>
    <w:rsid w:val="007344B6"/>
    <w:rsid w:val="00742D1B"/>
    <w:rsid w:val="00750F9D"/>
    <w:rsid w:val="007533B4"/>
    <w:rsid w:val="00757EFC"/>
    <w:rsid w:val="0076631C"/>
    <w:rsid w:val="00773EF4"/>
    <w:rsid w:val="00776F97"/>
    <w:rsid w:val="00782485"/>
    <w:rsid w:val="00786679"/>
    <w:rsid w:val="007A61E8"/>
    <w:rsid w:val="007B138B"/>
    <w:rsid w:val="007B18E5"/>
    <w:rsid w:val="007B7238"/>
    <w:rsid w:val="007C10E9"/>
    <w:rsid w:val="007E450F"/>
    <w:rsid w:val="007E4A81"/>
    <w:rsid w:val="007E61D7"/>
    <w:rsid w:val="007E7C8A"/>
    <w:rsid w:val="007F1A78"/>
    <w:rsid w:val="007F2A5D"/>
    <w:rsid w:val="007F2B73"/>
    <w:rsid w:val="007F4239"/>
    <w:rsid w:val="007F4698"/>
    <w:rsid w:val="007F7A30"/>
    <w:rsid w:val="00800D39"/>
    <w:rsid w:val="0082598F"/>
    <w:rsid w:val="00833658"/>
    <w:rsid w:val="008445EB"/>
    <w:rsid w:val="00854544"/>
    <w:rsid w:val="00857363"/>
    <w:rsid w:val="00857DB6"/>
    <w:rsid w:val="0086334E"/>
    <w:rsid w:val="008638F9"/>
    <w:rsid w:val="00880AC3"/>
    <w:rsid w:val="00892F26"/>
    <w:rsid w:val="008A0B96"/>
    <w:rsid w:val="008A41B9"/>
    <w:rsid w:val="008A535E"/>
    <w:rsid w:val="008B2242"/>
    <w:rsid w:val="008B25D2"/>
    <w:rsid w:val="008C615C"/>
    <w:rsid w:val="008D02E5"/>
    <w:rsid w:val="008D0BE2"/>
    <w:rsid w:val="008D3431"/>
    <w:rsid w:val="008E5AA3"/>
    <w:rsid w:val="008E6E63"/>
    <w:rsid w:val="008F1916"/>
    <w:rsid w:val="00900CEA"/>
    <w:rsid w:val="0090187E"/>
    <w:rsid w:val="009065D8"/>
    <w:rsid w:val="009072C4"/>
    <w:rsid w:val="00911D1B"/>
    <w:rsid w:val="0091215E"/>
    <w:rsid w:val="009369EB"/>
    <w:rsid w:val="00937FC6"/>
    <w:rsid w:val="00941999"/>
    <w:rsid w:val="009464E4"/>
    <w:rsid w:val="00947547"/>
    <w:rsid w:val="00955F11"/>
    <w:rsid w:val="009911DC"/>
    <w:rsid w:val="00995477"/>
    <w:rsid w:val="009A6AF8"/>
    <w:rsid w:val="009B3D06"/>
    <w:rsid w:val="009B4F82"/>
    <w:rsid w:val="009B6432"/>
    <w:rsid w:val="009C0682"/>
    <w:rsid w:val="009C6FF8"/>
    <w:rsid w:val="009D13AF"/>
    <w:rsid w:val="009D1B9A"/>
    <w:rsid w:val="009D50EC"/>
    <w:rsid w:val="009E484D"/>
    <w:rsid w:val="009E4A64"/>
    <w:rsid w:val="009E4C7E"/>
    <w:rsid w:val="009E52BC"/>
    <w:rsid w:val="009F1C77"/>
    <w:rsid w:val="009F3B57"/>
    <w:rsid w:val="00A03DB0"/>
    <w:rsid w:val="00A06FEB"/>
    <w:rsid w:val="00A25620"/>
    <w:rsid w:val="00A262D2"/>
    <w:rsid w:val="00A32387"/>
    <w:rsid w:val="00A367CB"/>
    <w:rsid w:val="00A4059B"/>
    <w:rsid w:val="00A41635"/>
    <w:rsid w:val="00A42A85"/>
    <w:rsid w:val="00A4313C"/>
    <w:rsid w:val="00A54ABF"/>
    <w:rsid w:val="00A54B89"/>
    <w:rsid w:val="00A54FB8"/>
    <w:rsid w:val="00A63372"/>
    <w:rsid w:val="00A66366"/>
    <w:rsid w:val="00A668CC"/>
    <w:rsid w:val="00A8444B"/>
    <w:rsid w:val="00A92357"/>
    <w:rsid w:val="00AA25B6"/>
    <w:rsid w:val="00AA3602"/>
    <w:rsid w:val="00AA4019"/>
    <w:rsid w:val="00AB17CC"/>
    <w:rsid w:val="00AB1A0D"/>
    <w:rsid w:val="00AC5519"/>
    <w:rsid w:val="00AC680D"/>
    <w:rsid w:val="00AC7658"/>
    <w:rsid w:val="00AC79C4"/>
    <w:rsid w:val="00AD083F"/>
    <w:rsid w:val="00AD202D"/>
    <w:rsid w:val="00AD6B9B"/>
    <w:rsid w:val="00AF7621"/>
    <w:rsid w:val="00B03CBA"/>
    <w:rsid w:val="00B05C9E"/>
    <w:rsid w:val="00B16C4D"/>
    <w:rsid w:val="00B20A91"/>
    <w:rsid w:val="00B31D96"/>
    <w:rsid w:val="00B3300C"/>
    <w:rsid w:val="00B337AD"/>
    <w:rsid w:val="00B340CE"/>
    <w:rsid w:val="00B360A8"/>
    <w:rsid w:val="00B433BC"/>
    <w:rsid w:val="00B433C5"/>
    <w:rsid w:val="00B47F69"/>
    <w:rsid w:val="00B517D4"/>
    <w:rsid w:val="00B525AB"/>
    <w:rsid w:val="00B53AC1"/>
    <w:rsid w:val="00B6536B"/>
    <w:rsid w:val="00B65ED6"/>
    <w:rsid w:val="00B70811"/>
    <w:rsid w:val="00B71056"/>
    <w:rsid w:val="00B71535"/>
    <w:rsid w:val="00B716AB"/>
    <w:rsid w:val="00B764DC"/>
    <w:rsid w:val="00B83416"/>
    <w:rsid w:val="00B84D66"/>
    <w:rsid w:val="00B92F36"/>
    <w:rsid w:val="00B957E9"/>
    <w:rsid w:val="00B96031"/>
    <w:rsid w:val="00BA3AE5"/>
    <w:rsid w:val="00BA3B54"/>
    <w:rsid w:val="00BB7D2C"/>
    <w:rsid w:val="00BC58BF"/>
    <w:rsid w:val="00BF3200"/>
    <w:rsid w:val="00C07F78"/>
    <w:rsid w:val="00C1154F"/>
    <w:rsid w:val="00C11ED3"/>
    <w:rsid w:val="00C13032"/>
    <w:rsid w:val="00C14969"/>
    <w:rsid w:val="00C227E7"/>
    <w:rsid w:val="00C26544"/>
    <w:rsid w:val="00C326AE"/>
    <w:rsid w:val="00C32D58"/>
    <w:rsid w:val="00C35D4F"/>
    <w:rsid w:val="00C454A8"/>
    <w:rsid w:val="00C4775A"/>
    <w:rsid w:val="00C52436"/>
    <w:rsid w:val="00C539D9"/>
    <w:rsid w:val="00C54C3B"/>
    <w:rsid w:val="00C56443"/>
    <w:rsid w:val="00C60864"/>
    <w:rsid w:val="00C714AD"/>
    <w:rsid w:val="00C7184F"/>
    <w:rsid w:val="00C90623"/>
    <w:rsid w:val="00C94DFD"/>
    <w:rsid w:val="00C96997"/>
    <w:rsid w:val="00CA455F"/>
    <w:rsid w:val="00CC1222"/>
    <w:rsid w:val="00CC2419"/>
    <w:rsid w:val="00CC2C3A"/>
    <w:rsid w:val="00CC4CD5"/>
    <w:rsid w:val="00CD07D7"/>
    <w:rsid w:val="00CE55B8"/>
    <w:rsid w:val="00CF1B5F"/>
    <w:rsid w:val="00CF1D86"/>
    <w:rsid w:val="00CF1E46"/>
    <w:rsid w:val="00CF4DA8"/>
    <w:rsid w:val="00D0134B"/>
    <w:rsid w:val="00D05AE1"/>
    <w:rsid w:val="00D148A1"/>
    <w:rsid w:val="00D16A0D"/>
    <w:rsid w:val="00D24D29"/>
    <w:rsid w:val="00D34B59"/>
    <w:rsid w:val="00D3740E"/>
    <w:rsid w:val="00D421E7"/>
    <w:rsid w:val="00D47A94"/>
    <w:rsid w:val="00D54997"/>
    <w:rsid w:val="00D6116D"/>
    <w:rsid w:val="00D611D0"/>
    <w:rsid w:val="00D71663"/>
    <w:rsid w:val="00D75E42"/>
    <w:rsid w:val="00D958DD"/>
    <w:rsid w:val="00DA01BB"/>
    <w:rsid w:val="00DA0B26"/>
    <w:rsid w:val="00DA1B57"/>
    <w:rsid w:val="00DA48AF"/>
    <w:rsid w:val="00DB2D14"/>
    <w:rsid w:val="00DB5177"/>
    <w:rsid w:val="00DB7A66"/>
    <w:rsid w:val="00DC04EB"/>
    <w:rsid w:val="00DC207A"/>
    <w:rsid w:val="00DD3E00"/>
    <w:rsid w:val="00DE5F22"/>
    <w:rsid w:val="00E015B4"/>
    <w:rsid w:val="00E04072"/>
    <w:rsid w:val="00E07E31"/>
    <w:rsid w:val="00E16AD0"/>
    <w:rsid w:val="00E224DE"/>
    <w:rsid w:val="00E246E1"/>
    <w:rsid w:val="00E41A59"/>
    <w:rsid w:val="00E65399"/>
    <w:rsid w:val="00E71B1B"/>
    <w:rsid w:val="00E808F1"/>
    <w:rsid w:val="00E8098B"/>
    <w:rsid w:val="00EA286C"/>
    <w:rsid w:val="00EA6477"/>
    <w:rsid w:val="00EC15A4"/>
    <w:rsid w:val="00EC4073"/>
    <w:rsid w:val="00EC5784"/>
    <w:rsid w:val="00EC5E31"/>
    <w:rsid w:val="00EE618C"/>
    <w:rsid w:val="00F02C29"/>
    <w:rsid w:val="00F06311"/>
    <w:rsid w:val="00F075C0"/>
    <w:rsid w:val="00F07DF7"/>
    <w:rsid w:val="00F12A85"/>
    <w:rsid w:val="00F235DB"/>
    <w:rsid w:val="00F50E9C"/>
    <w:rsid w:val="00F514CB"/>
    <w:rsid w:val="00F54610"/>
    <w:rsid w:val="00F71669"/>
    <w:rsid w:val="00F75B80"/>
    <w:rsid w:val="00F80D3F"/>
    <w:rsid w:val="00F86533"/>
    <w:rsid w:val="00F915D0"/>
    <w:rsid w:val="00F91CDA"/>
    <w:rsid w:val="00F93A74"/>
    <w:rsid w:val="00FA7212"/>
    <w:rsid w:val="00FB4BB1"/>
    <w:rsid w:val="00FC62A5"/>
    <w:rsid w:val="00FD5F5B"/>
    <w:rsid w:val="00FF1569"/>
    <w:rsid w:val="00FF195D"/>
    <w:rsid w:val="00FF3974"/>
    <w:rsid w:val="00FF61FA"/>
    <w:rsid w:val="00FF7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563E"/>
  <w15:docId w15:val="{D260DF36-D1A6-4252-9EB0-4A2F14CE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04EB"/>
    <w:pPr>
      <w:keepNext/>
      <w:keepLines/>
      <w:spacing w:before="240" w:after="0" w:line="240" w:lineRule="auto"/>
      <w:ind w:firstLine="284"/>
      <w:jc w:val="both"/>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C04EB"/>
    <w:pPr>
      <w:keepNext/>
      <w:keepLines/>
      <w:spacing w:before="40" w:after="0" w:line="240" w:lineRule="auto"/>
      <w:ind w:firstLine="284"/>
      <w:jc w:val="both"/>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4618"/>
    <w:pPr>
      <w:spacing w:after="0" w:line="240" w:lineRule="auto"/>
    </w:pPr>
  </w:style>
  <w:style w:type="table" w:styleId="Mkatabulky">
    <w:name w:val="Table Grid"/>
    <w:basedOn w:val="Normlntabulka"/>
    <w:uiPriority w:val="39"/>
    <w:rsid w:val="00DC0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C04E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C04EB"/>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30504A"/>
    <w:rPr>
      <w:color w:val="0563C1" w:themeColor="hyperlink"/>
      <w:u w:val="single"/>
    </w:rPr>
  </w:style>
  <w:style w:type="character" w:customStyle="1" w:styleId="apple-converted-space">
    <w:name w:val="apple-converted-space"/>
    <w:basedOn w:val="Standardnpsmoodstavce"/>
    <w:rsid w:val="0030504A"/>
  </w:style>
  <w:style w:type="character" w:styleId="Siln">
    <w:name w:val="Strong"/>
    <w:basedOn w:val="Standardnpsmoodstavce"/>
    <w:uiPriority w:val="22"/>
    <w:qFormat/>
    <w:rsid w:val="0030504A"/>
    <w:rPr>
      <w:b/>
      <w:bCs/>
    </w:rPr>
  </w:style>
  <w:style w:type="paragraph" w:styleId="Nadpisobsahu">
    <w:name w:val="TOC Heading"/>
    <w:basedOn w:val="Nadpis1"/>
    <w:next w:val="Normln"/>
    <w:uiPriority w:val="39"/>
    <w:unhideWhenUsed/>
    <w:qFormat/>
    <w:rsid w:val="00D148A1"/>
    <w:pPr>
      <w:spacing w:line="259" w:lineRule="auto"/>
      <w:ind w:firstLine="0"/>
      <w:jc w:val="left"/>
      <w:outlineLvl w:val="9"/>
    </w:pPr>
    <w:rPr>
      <w:lang w:eastAsia="cs-CZ"/>
    </w:rPr>
  </w:style>
  <w:style w:type="paragraph" w:styleId="Obsah1">
    <w:name w:val="toc 1"/>
    <w:basedOn w:val="Normln"/>
    <w:next w:val="Normln"/>
    <w:autoRedefine/>
    <w:uiPriority w:val="39"/>
    <w:unhideWhenUsed/>
    <w:rsid w:val="00D148A1"/>
    <w:pPr>
      <w:spacing w:after="100"/>
    </w:pPr>
  </w:style>
  <w:style w:type="paragraph" w:styleId="Obsah2">
    <w:name w:val="toc 2"/>
    <w:basedOn w:val="Normln"/>
    <w:next w:val="Normln"/>
    <w:autoRedefine/>
    <w:uiPriority w:val="39"/>
    <w:unhideWhenUsed/>
    <w:rsid w:val="00D148A1"/>
    <w:pPr>
      <w:spacing w:after="100"/>
      <w:ind w:left="220"/>
    </w:pPr>
  </w:style>
  <w:style w:type="character" w:styleId="Odkaznakoment">
    <w:name w:val="annotation reference"/>
    <w:basedOn w:val="Standardnpsmoodstavce"/>
    <w:uiPriority w:val="99"/>
    <w:semiHidden/>
    <w:unhideWhenUsed/>
    <w:rsid w:val="00D148A1"/>
    <w:rPr>
      <w:sz w:val="16"/>
      <w:szCs w:val="16"/>
    </w:rPr>
  </w:style>
  <w:style w:type="paragraph" w:styleId="Textkomente">
    <w:name w:val="annotation text"/>
    <w:basedOn w:val="Normln"/>
    <w:link w:val="TextkomenteChar"/>
    <w:uiPriority w:val="99"/>
    <w:semiHidden/>
    <w:unhideWhenUsed/>
    <w:rsid w:val="00D148A1"/>
    <w:pPr>
      <w:spacing w:line="240" w:lineRule="auto"/>
    </w:pPr>
    <w:rPr>
      <w:sz w:val="20"/>
      <w:szCs w:val="20"/>
    </w:rPr>
  </w:style>
  <w:style w:type="character" w:customStyle="1" w:styleId="TextkomenteChar">
    <w:name w:val="Text komentáře Char"/>
    <w:basedOn w:val="Standardnpsmoodstavce"/>
    <w:link w:val="Textkomente"/>
    <w:uiPriority w:val="99"/>
    <w:semiHidden/>
    <w:rsid w:val="00D148A1"/>
    <w:rPr>
      <w:sz w:val="20"/>
      <w:szCs w:val="20"/>
    </w:rPr>
  </w:style>
  <w:style w:type="paragraph" w:styleId="Pedmtkomente">
    <w:name w:val="annotation subject"/>
    <w:basedOn w:val="Textkomente"/>
    <w:next w:val="Textkomente"/>
    <w:link w:val="PedmtkomenteChar"/>
    <w:uiPriority w:val="99"/>
    <w:semiHidden/>
    <w:unhideWhenUsed/>
    <w:rsid w:val="00D148A1"/>
    <w:rPr>
      <w:b/>
      <w:bCs/>
    </w:rPr>
  </w:style>
  <w:style w:type="character" w:customStyle="1" w:styleId="PedmtkomenteChar">
    <w:name w:val="Předmět komentáře Char"/>
    <w:basedOn w:val="TextkomenteChar"/>
    <w:link w:val="Pedmtkomente"/>
    <w:uiPriority w:val="99"/>
    <w:semiHidden/>
    <w:rsid w:val="00D148A1"/>
    <w:rPr>
      <w:b/>
      <w:bCs/>
      <w:sz w:val="20"/>
      <w:szCs w:val="20"/>
    </w:rPr>
  </w:style>
  <w:style w:type="paragraph" w:styleId="Textbubliny">
    <w:name w:val="Balloon Text"/>
    <w:basedOn w:val="Normln"/>
    <w:link w:val="TextbublinyChar"/>
    <w:uiPriority w:val="99"/>
    <w:semiHidden/>
    <w:unhideWhenUsed/>
    <w:rsid w:val="00D148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48A1"/>
    <w:rPr>
      <w:rFonts w:ascii="Segoe UI" w:hAnsi="Segoe UI" w:cs="Segoe UI"/>
      <w:sz w:val="18"/>
      <w:szCs w:val="18"/>
    </w:rPr>
  </w:style>
  <w:style w:type="paragraph" w:styleId="Odstavecseseznamem">
    <w:name w:val="List Paragraph"/>
    <w:basedOn w:val="Normln"/>
    <w:uiPriority w:val="34"/>
    <w:qFormat/>
    <w:rsid w:val="00405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43425">
      <w:bodyDiv w:val="1"/>
      <w:marLeft w:val="0"/>
      <w:marRight w:val="0"/>
      <w:marTop w:val="0"/>
      <w:marBottom w:val="0"/>
      <w:divBdr>
        <w:top w:val="none" w:sz="0" w:space="0" w:color="auto"/>
        <w:left w:val="none" w:sz="0" w:space="0" w:color="auto"/>
        <w:bottom w:val="none" w:sz="0" w:space="0" w:color="auto"/>
        <w:right w:val="none" w:sz="0" w:space="0" w:color="auto"/>
      </w:divBdr>
    </w:div>
    <w:div w:id="747731193">
      <w:bodyDiv w:val="1"/>
      <w:marLeft w:val="0"/>
      <w:marRight w:val="0"/>
      <w:marTop w:val="0"/>
      <w:marBottom w:val="0"/>
      <w:divBdr>
        <w:top w:val="none" w:sz="0" w:space="0" w:color="auto"/>
        <w:left w:val="none" w:sz="0" w:space="0" w:color="auto"/>
        <w:bottom w:val="none" w:sz="0" w:space="0" w:color="auto"/>
        <w:right w:val="none" w:sz="0" w:space="0" w:color="auto"/>
      </w:divBdr>
    </w:div>
    <w:div w:id="1156458789">
      <w:bodyDiv w:val="1"/>
      <w:marLeft w:val="0"/>
      <w:marRight w:val="0"/>
      <w:marTop w:val="0"/>
      <w:marBottom w:val="0"/>
      <w:divBdr>
        <w:top w:val="none" w:sz="0" w:space="0" w:color="auto"/>
        <w:left w:val="none" w:sz="0" w:space="0" w:color="auto"/>
        <w:bottom w:val="none" w:sz="0" w:space="0" w:color="auto"/>
        <w:right w:val="none" w:sz="0" w:space="0" w:color="auto"/>
      </w:divBdr>
    </w:div>
    <w:div w:id="1157454328">
      <w:bodyDiv w:val="1"/>
      <w:marLeft w:val="0"/>
      <w:marRight w:val="0"/>
      <w:marTop w:val="0"/>
      <w:marBottom w:val="0"/>
      <w:divBdr>
        <w:top w:val="none" w:sz="0" w:space="0" w:color="auto"/>
        <w:left w:val="none" w:sz="0" w:space="0" w:color="auto"/>
        <w:bottom w:val="none" w:sz="0" w:space="0" w:color="auto"/>
        <w:right w:val="none" w:sz="0" w:space="0" w:color="auto"/>
      </w:divBdr>
    </w:div>
    <w:div w:id="1344821153">
      <w:bodyDiv w:val="1"/>
      <w:marLeft w:val="0"/>
      <w:marRight w:val="0"/>
      <w:marTop w:val="0"/>
      <w:marBottom w:val="0"/>
      <w:divBdr>
        <w:top w:val="none" w:sz="0" w:space="0" w:color="auto"/>
        <w:left w:val="none" w:sz="0" w:space="0" w:color="auto"/>
        <w:bottom w:val="none" w:sz="0" w:space="0" w:color="auto"/>
        <w:right w:val="none" w:sz="0" w:space="0" w:color="auto"/>
      </w:divBdr>
    </w:div>
    <w:div w:id="1348092447">
      <w:bodyDiv w:val="1"/>
      <w:marLeft w:val="0"/>
      <w:marRight w:val="0"/>
      <w:marTop w:val="0"/>
      <w:marBottom w:val="0"/>
      <w:divBdr>
        <w:top w:val="none" w:sz="0" w:space="0" w:color="auto"/>
        <w:left w:val="none" w:sz="0" w:space="0" w:color="auto"/>
        <w:bottom w:val="none" w:sz="0" w:space="0" w:color="auto"/>
        <w:right w:val="none" w:sz="0" w:space="0" w:color="auto"/>
      </w:divBdr>
    </w:div>
    <w:div w:id="1514414670">
      <w:bodyDiv w:val="1"/>
      <w:marLeft w:val="0"/>
      <w:marRight w:val="0"/>
      <w:marTop w:val="0"/>
      <w:marBottom w:val="0"/>
      <w:divBdr>
        <w:top w:val="none" w:sz="0" w:space="0" w:color="auto"/>
        <w:left w:val="none" w:sz="0" w:space="0" w:color="auto"/>
        <w:bottom w:val="none" w:sz="0" w:space="0" w:color="auto"/>
        <w:right w:val="none" w:sz="0" w:space="0" w:color="auto"/>
      </w:divBdr>
    </w:div>
    <w:div w:id="1619332752">
      <w:bodyDiv w:val="1"/>
      <w:marLeft w:val="0"/>
      <w:marRight w:val="0"/>
      <w:marTop w:val="0"/>
      <w:marBottom w:val="0"/>
      <w:divBdr>
        <w:top w:val="none" w:sz="0" w:space="0" w:color="auto"/>
        <w:left w:val="none" w:sz="0" w:space="0" w:color="auto"/>
        <w:bottom w:val="none" w:sz="0" w:space="0" w:color="auto"/>
        <w:right w:val="none" w:sz="0" w:space="0" w:color="auto"/>
      </w:divBdr>
    </w:div>
    <w:div w:id="1901937408">
      <w:bodyDiv w:val="1"/>
      <w:marLeft w:val="0"/>
      <w:marRight w:val="0"/>
      <w:marTop w:val="0"/>
      <w:marBottom w:val="0"/>
      <w:divBdr>
        <w:top w:val="none" w:sz="0" w:space="0" w:color="auto"/>
        <w:left w:val="none" w:sz="0" w:space="0" w:color="auto"/>
        <w:bottom w:val="none" w:sz="0" w:space="0" w:color="auto"/>
        <w:right w:val="none" w:sz="0" w:space="0" w:color="auto"/>
      </w:divBdr>
    </w:div>
    <w:div w:id="20994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x.doi.org/10.1007/s00592-003-0069-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x.doi.org/10.1007/BF033440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AEDA-DC1F-4105-8B65-C3828406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3675</Words>
  <Characters>21684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FTK UP Olomouc</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 Zbořilová</dc:creator>
  <cp:lastModifiedBy>Vendula Zbořilová</cp:lastModifiedBy>
  <cp:revision>4</cp:revision>
  <dcterms:created xsi:type="dcterms:W3CDTF">2017-03-16T15:04:00Z</dcterms:created>
  <dcterms:modified xsi:type="dcterms:W3CDTF">2017-03-19T12:32:00Z</dcterms:modified>
</cp:coreProperties>
</file>